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7FEF" w14:textId="77777777" w:rsidR="00ED14CB" w:rsidRPr="001B6A51" w:rsidRDefault="00ED14CB" w:rsidP="00ED14CB">
      <w:pPr>
        <w:spacing w:line="276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14:paraId="115CF4EE" w14:textId="77777777" w:rsidR="00ED14CB" w:rsidRPr="00BE3B1B" w:rsidRDefault="00ED14CB" w:rsidP="00ED14CB">
      <w:pPr>
        <w:pStyle w:val="Tekstpodstawowy"/>
        <w:tabs>
          <w:tab w:val="center" w:pos="5528"/>
        </w:tabs>
        <w:ind w:left="709" w:firstLine="709"/>
        <w:rPr>
          <w:rFonts w:ascii="Arial" w:hAnsi="Arial" w:cs="Arial"/>
          <w:sz w:val="36"/>
          <w:szCs w:val="36"/>
        </w:rPr>
      </w:pPr>
      <w:r w:rsidRPr="001B6A51"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3246703F" wp14:editId="534CF4F5">
            <wp:simplePos x="0" y="0"/>
            <wp:positionH relativeFrom="column">
              <wp:posOffset>613410</wp:posOffset>
            </wp:positionH>
            <wp:positionV relativeFrom="paragraph">
              <wp:posOffset>-100965</wp:posOffset>
            </wp:positionV>
            <wp:extent cx="971550" cy="666750"/>
            <wp:effectExtent l="0" t="0" r="0" b="0"/>
            <wp:wrapNone/>
            <wp:docPr id="1" name="Obraz 1" descr="logo-b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b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6A51">
        <w:rPr>
          <w:rFonts w:ascii="Arial" w:hAnsi="Arial" w:cs="Arial"/>
          <w:color w:val="FF0000"/>
          <w:sz w:val="36"/>
          <w:szCs w:val="36"/>
        </w:rPr>
        <w:t xml:space="preserve">              </w:t>
      </w:r>
      <w:r w:rsidRPr="00BE3B1B">
        <w:rPr>
          <w:rFonts w:ascii="Arial" w:hAnsi="Arial" w:cs="Arial"/>
          <w:sz w:val="36"/>
          <w:szCs w:val="36"/>
        </w:rPr>
        <w:t>BANK SPÓŁDZIELCZY W IŁOWEJ</w:t>
      </w:r>
    </w:p>
    <w:p w14:paraId="362D00BD" w14:textId="77777777" w:rsidR="00ED14CB" w:rsidRPr="00BE3B1B" w:rsidRDefault="00ED14CB" w:rsidP="00ED14CB">
      <w:pPr>
        <w:pStyle w:val="Tekstpodstawowy"/>
        <w:rPr>
          <w:i/>
          <w:sz w:val="20"/>
        </w:rPr>
      </w:pPr>
      <w:r w:rsidRPr="00BE3B1B">
        <w:t xml:space="preserve">  </w:t>
      </w:r>
      <w:r w:rsidRPr="00BE3B1B">
        <w:tab/>
      </w:r>
      <w:r w:rsidRPr="00BE3B1B">
        <w:tab/>
      </w:r>
      <w:r w:rsidRPr="00BE3B1B">
        <w:tab/>
        <w:t xml:space="preserve">           </w:t>
      </w:r>
      <w:r w:rsidRPr="00BE3B1B">
        <w:rPr>
          <w:sz w:val="20"/>
        </w:rPr>
        <w:t>ZRZESZONY W BANKU POLSKIEJ SPÓŁDZIELCZOŚCI  S.A.</w:t>
      </w:r>
    </w:p>
    <w:p w14:paraId="778227ED" w14:textId="77777777" w:rsidR="00ED14CB" w:rsidRPr="001B6A51" w:rsidRDefault="00ED14CB" w:rsidP="00ED14CB">
      <w:pPr>
        <w:pStyle w:val="Nagwek3"/>
        <w:jc w:val="right"/>
        <w:rPr>
          <w:b w:val="0"/>
          <w:i/>
          <w:color w:val="FF0000"/>
          <w:sz w:val="22"/>
          <w:szCs w:val="22"/>
        </w:rPr>
      </w:pPr>
    </w:p>
    <w:p w14:paraId="5742A40F" w14:textId="77777777" w:rsidR="00ED14CB" w:rsidRPr="001B6A51" w:rsidRDefault="00ED14CB" w:rsidP="00ED14CB">
      <w:pPr>
        <w:pStyle w:val="Tekstpodstawowy"/>
        <w:ind w:left="4956" w:hanging="456"/>
        <w:jc w:val="both"/>
        <w:rPr>
          <w:i/>
          <w:color w:val="FF0000"/>
          <w:sz w:val="22"/>
          <w:szCs w:val="22"/>
        </w:rPr>
      </w:pPr>
    </w:p>
    <w:p w14:paraId="329CC21F" w14:textId="77777777" w:rsidR="00ED14CB" w:rsidRPr="001B6A51" w:rsidRDefault="00ED14CB" w:rsidP="00ED14CB">
      <w:pPr>
        <w:pStyle w:val="Tekstpodstawowy"/>
        <w:ind w:left="4956" w:hanging="456"/>
        <w:jc w:val="both"/>
        <w:rPr>
          <w:i/>
          <w:color w:val="FF0000"/>
          <w:sz w:val="22"/>
          <w:szCs w:val="22"/>
        </w:rPr>
      </w:pPr>
    </w:p>
    <w:p w14:paraId="42CFDD9A" w14:textId="3D279A9E" w:rsidR="00ED14CB" w:rsidRPr="00A7665D" w:rsidRDefault="00ED14CB" w:rsidP="00ED14CB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 xml:space="preserve">Załącznik do Uchwały Nr </w:t>
      </w:r>
      <w:r w:rsidR="00766F0C" w:rsidRPr="00A7665D">
        <w:rPr>
          <w:i/>
          <w:sz w:val="22"/>
          <w:szCs w:val="22"/>
        </w:rPr>
        <w:t>5</w:t>
      </w:r>
      <w:r w:rsidR="00A7665D" w:rsidRPr="00A7665D">
        <w:rPr>
          <w:i/>
          <w:sz w:val="22"/>
          <w:szCs w:val="22"/>
        </w:rPr>
        <w:t>0</w:t>
      </w:r>
      <w:r w:rsidRPr="00A7665D">
        <w:rPr>
          <w:i/>
          <w:sz w:val="22"/>
          <w:szCs w:val="22"/>
        </w:rPr>
        <w:t>/20</w:t>
      </w:r>
      <w:r w:rsidR="00766F0C" w:rsidRPr="00A7665D">
        <w:rPr>
          <w:i/>
          <w:sz w:val="22"/>
          <w:szCs w:val="22"/>
        </w:rPr>
        <w:t>2</w:t>
      </w:r>
      <w:r w:rsidR="00A7665D" w:rsidRPr="00A7665D">
        <w:rPr>
          <w:i/>
          <w:sz w:val="22"/>
          <w:szCs w:val="22"/>
        </w:rPr>
        <w:t>1</w:t>
      </w:r>
    </w:p>
    <w:p w14:paraId="3B753B95" w14:textId="77777777" w:rsidR="00ED14CB" w:rsidRPr="00A7665D" w:rsidRDefault="00ED14CB" w:rsidP="00ED14CB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>Zarządu Banku Spółdzielczego w Iłowej</w:t>
      </w:r>
    </w:p>
    <w:p w14:paraId="1B7B866B" w14:textId="74D6C7A9" w:rsidR="00ED14CB" w:rsidRPr="00A7665D" w:rsidRDefault="00ED14CB" w:rsidP="00ED14CB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 xml:space="preserve">z dnia </w:t>
      </w:r>
      <w:r w:rsidR="00A7665D" w:rsidRPr="00A7665D">
        <w:rPr>
          <w:i/>
          <w:sz w:val="22"/>
          <w:szCs w:val="22"/>
        </w:rPr>
        <w:t>15</w:t>
      </w:r>
      <w:r w:rsidRPr="00A7665D">
        <w:rPr>
          <w:i/>
          <w:sz w:val="22"/>
          <w:szCs w:val="22"/>
        </w:rPr>
        <w:t>.0</w:t>
      </w:r>
      <w:r w:rsidR="00766F0C" w:rsidRPr="00A7665D">
        <w:rPr>
          <w:i/>
          <w:sz w:val="22"/>
          <w:szCs w:val="22"/>
        </w:rPr>
        <w:t>6</w:t>
      </w:r>
      <w:r w:rsidRPr="00A7665D">
        <w:rPr>
          <w:i/>
          <w:sz w:val="22"/>
          <w:szCs w:val="22"/>
        </w:rPr>
        <w:t>.20</w:t>
      </w:r>
      <w:r w:rsidR="00766F0C" w:rsidRPr="00A7665D">
        <w:rPr>
          <w:i/>
          <w:sz w:val="22"/>
          <w:szCs w:val="22"/>
        </w:rPr>
        <w:t>2</w:t>
      </w:r>
      <w:r w:rsidR="00A7665D" w:rsidRPr="00A7665D">
        <w:rPr>
          <w:i/>
          <w:sz w:val="22"/>
          <w:szCs w:val="22"/>
        </w:rPr>
        <w:t>1</w:t>
      </w:r>
      <w:r w:rsidRPr="00A7665D">
        <w:rPr>
          <w:i/>
          <w:sz w:val="22"/>
          <w:szCs w:val="22"/>
        </w:rPr>
        <w:t xml:space="preserve"> r. </w:t>
      </w:r>
    </w:p>
    <w:p w14:paraId="6CE06EB1" w14:textId="77777777" w:rsidR="00ED14CB" w:rsidRPr="00A7665D" w:rsidRDefault="00ED14CB" w:rsidP="00ED14CB">
      <w:pPr>
        <w:jc w:val="right"/>
      </w:pPr>
    </w:p>
    <w:p w14:paraId="79036280" w14:textId="52857129" w:rsidR="00EE45EF" w:rsidRPr="00A7665D" w:rsidRDefault="00EE45EF" w:rsidP="00EE45EF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 xml:space="preserve">Załącznik do Uchwały Nr </w:t>
      </w:r>
      <w:r w:rsidR="00766F0C" w:rsidRPr="00A7665D">
        <w:rPr>
          <w:i/>
          <w:sz w:val="22"/>
          <w:szCs w:val="22"/>
        </w:rPr>
        <w:t>1</w:t>
      </w:r>
      <w:r w:rsidR="00A7665D" w:rsidRPr="00A7665D">
        <w:rPr>
          <w:i/>
          <w:sz w:val="22"/>
          <w:szCs w:val="22"/>
        </w:rPr>
        <w:t>5</w:t>
      </w:r>
      <w:r w:rsidRPr="00A7665D">
        <w:rPr>
          <w:i/>
          <w:sz w:val="22"/>
          <w:szCs w:val="22"/>
        </w:rPr>
        <w:t>/20</w:t>
      </w:r>
      <w:r w:rsidR="00766F0C" w:rsidRPr="00A7665D">
        <w:rPr>
          <w:i/>
          <w:sz w:val="22"/>
          <w:szCs w:val="22"/>
        </w:rPr>
        <w:t>2</w:t>
      </w:r>
      <w:r w:rsidR="00A7665D" w:rsidRPr="00A7665D">
        <w:rPr>
          <w:i/>
          <w:sz w:val="22"/>
          <w:szCs w:val="22"/>
        </w:rPr>
        <w:t>1</w:t>
      </w:r>
    </w:p>
    <w:p w14:paraId="11E6BF6A" w14:textId="77777777" w:rsidR="00EE45EF" w:rsidRPr="00A7665D" w:rsidRDefault="00EE45EF" w:rsidP="00EE45EF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>Rady Nadzorczej Banku Spółdzielczego w Iłowej</w:t>
      </w:r>
    </w:p>
    <w:p w14:paraId="5C4A032C" w14:textId="48806BB8" w:rsidR="00EE45EF" w:rsidRPr="00A7665D" w:rsidRDefault="00EE45EF" w:rsidP="00EE45EF">
      <w:pPr>
        <w:pStyle w:val="Tekstpodstawowy"/>
        <w:ind w:left="4956" w:hanging="456"/>
        <w:jc w:val="both"/>
        <w:rPr>
          <w:i/>
          <w:sz w:val="22"/>
          <w:szCs w:val="22"/>
        </w:rPr>
      </w:pPr>
      <w:r w:rsidRPr="00A7665D">
        <w:rPr>
          <w:i/>
          <w:sz w:val="22"/>
          <w:szCs w:val="22"/>
        </w:rPr>
        <w:t xml:space="preserve">z dnia </w:t>
      </w:r>
      <w:r w:rsidR="00A7665D" w:rsidRPr="00A7665D">
        <w:rPr>
          <w:i/>
          <w:sz w:val="22"/>
          <w:szCs w:val="22"/>
        </w:rPr>
        <w:t>28</w:t>
      </w:r>
      <w:r w:rsidR="00EE40D2" w:rsidRPr="00A7665D">
        <w:rPr>
          <w:i/>
          <w:sz w:val="22"/>
          <w:szCs w:val="22"/>
        </w:rPr>
        <w:t>.0</w:t>
      </w:r>
      <w:r w:rsidR="00A7665D" w:rsidRPr="00A7665D">
        <w:rPr>
          <w:i/>
          <w:sz w:val="22"/>
          <w:szCs w:val="22"/>
        </w:rPr>
        <w:t>7</w:t>
      </w:r>
      <w:r w:rsidR="00A44607" w:rsidRPr="00A7665D">
        <w:rPr>
          <w:i/>
          <w:sz w:val="22"/>
          <w:szCs w:val="22"/>
        </w:rPr>
        <w:t>.20</w:t>
      </w:r>
      <w:r w:rsidR="00766F0C" w:rsidRPr="00A7665D">
        <w:rPr>
          <w:i/>
          <w:sz w:val="22"/>
          <w:szCs w:val="22"/>
        </w:rPr>
        <w:t>2</w:t>
      </w:r>
      <w:r w:rsidR="00A7665D" w:rsidRPr="00A7665D">
        <w:rPr>
          <w:i/>
          <w:sz w:val="22"/>
          <w:szCs w:val="22"/>
        </w:rPr>
        <w:t>1</w:t>
      </w:r>
      <w:r w:rsidRPr="00A7665D">
        <w:rPr>
          <w:i/>
          <w:sz w:val="22"/>
          <w:szCs w:val="22"/>
        </w:rPr>
        <w:t xml:space="preserve"> r. </w:t>
      </w:r>
    </w:p>
    <w:p w14:paraId="1E689BA2" w14:textId="77777777" w:rsidR="00A250DE" w:rsidRPr="00A7665D" w:rsidRDefault="00A250DE" w:rsidP="00EA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757DD" w14:textId="77777777" w:rsidR="00A250DE" w:rsidRPr="00A7665D" w:rsidRDefault="00A250DE" w:rsidP="00EA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629419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ED8629D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E4C1194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4B2E03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0FB5C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B1B">
        <w:rPr>
          <w:rFonts w:ascii="Times New Roman" w:hAnsi="Times New Roman" w:cs="Times New Roman"/>
          <w:b/>
          <w:sz w:val="32"/>
          <w:szCs w:val="32"/>
        </w:rPr>
        <w:t xml:space="preserve">INFORMACJA </w:t>
      </w:r>
    </w:p>
    <w:p w14:paraId="4427E332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3B1B">
        <w:rPr>
          <w:rFonts w:ascii="Times New Roman" w:hAnsi="Times New Roman" w:cs="Times New Roman"/>
          <w:b/>
          <w:sz w:val="32"/>
          <w:szCs w:val="32"/>
        </w:rPr>
        <w:t>BANKU SPÓŁDZIELCZEGO W IŁOWEJ</w:t>
      </w:r>
    </w:p>
    <w:p w14:paraId="4943C8DC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7D75A4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B1B">
        <w:rPr>
          <w:rFonts w:ascii="Times New Roman" w:hAnsi="Times New Roman" w:cs="Times New Roman"/>
          <w:sz w:val="24"/>
          <w:szCs w:val="24"/>
        </w:rPr>
        <w:t>Wynikająca z art. 111</w:t>
      </w:r>
      <w:r w:rsidR="00860A9C" w:rsidRPr="00BE3B1B">
        <w:rPr>
          <w:rFonts w:ascii="Times New Roman" w:hAnsi="Times New Roman" w:cs="Times New Roman"/>
          <w:sz w:val="24"/>
          <w:szCs w:val="24"/>
        </w:rPr>
        <w:t xml:space="preserve"> i 111</w:t>
      </w:r>
      <w:r w:rsidRPr="00BE3B1B">
        <w:rPr>
          <w:rFonts w:ascii="Times New Roman" w:hAnsi="Times New Roman" w:cs="Times New Roman"/>
          <w:sz w:val="24"/>
          <w:szCs w:val="24"/>
        </w:rPr>
        <w:t>a</w:t>
      </w:r>
      <w:r w:rsidR="00ED48AC" w:rsidRPr="00BE3B1B">
        <w:rPr>
          <w:rFonts w:ascii="Times New Roman" w:hAnsi="Times New Roman" w:cs="Times New Roman"/>
          <w:sz w:val="24"/>
          <w:szCs w:val="24"/>
        </w:rPr>
        <w:t>, 111b</w:t>
      </w:r>
      <w:r w:rsidRPr="00BE3B1B">
        <w:rPr>
          <w:rFonts w:ascii="Times New Roman" w:hAnsi="Times New Roman" w:cs="Times New Roman"/>
          <w:sz w:val="24"/>
          <w:szCs w:val="24"/>
        </w:rPr>
        <w:t xml:space="preserve"> ustawy Prawo bankowe</w:t>
      </w:r>
    </w:p>
    <w:p w14:paraId="1016E6A1" w14:textId="77777777" w:rsidR="00A250DE" w:rsidRPr="00BE3B1B" w:rsidRDefault="00A250DE" w:rsidP="00EA25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A5DFE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14B942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013E69A" w14:textId="77777777" w:rsidR="00ED14CB" w:rsidRPr="001B6A51" w:rsidRDefault="00ED14CB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68282AD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DC13CB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0F030A3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986812F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16A2BE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308F19" w14:textId="77777777" w:rsidR="00A250DE" w:rsidRPr="009163F4" w:rsidRDefault="00A250DE" w:rsidP="00A250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3F4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14:paraId="12EEAD6B" w14:textId="77777777" w:rsidR="00A250DE" w:rsidRPr="009163F4" w:rsidRDefault="00A250DE" w:rsidP="00A250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028"/>
        <w:gridCol w:w="335"/>
      </w:tblGrid>
      <w:tr w:rsidR="009163F4" w:rsidRPr="009163F4" w14:paraId="2A6C9CF1" w14:textId="77777777" w:rsidTr="00A250DE">
        <w:tc>
          <w:tcPr>
            <w:tcW w:w="709" w:type="dxa"/>
          </w:tcPr>
          <w:p w14:paraId="697F9498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14:paraId="5E748A4C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A61D9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88C50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EBA1AC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A5F757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E6C64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1237A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ADAE2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14:paraId="4BCBE897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6D68C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14:paraId="6381B610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271A9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14:paraId="643F1ECF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  <w:p w14:paraId="648DD0CD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7F0094" w:rsidRPr="009163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904501" w14:textId="77777777" w:rsidR="007F0094" w:rsidRPr="009163F4" w:rsidRDefault="007F0094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40CDB" w14:textId="77777777" w:rsidR="007F0094" w:rsidRPr="009163F4" w:rsidRDefault="007F0094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E1111" w14:textId="77777777" w:rsidR="007F0094" w:rsidRPr="009163F4" w:rsidRDefault="007F0094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VII.</w:t>
            </w:r>
          </w:p>
          <w:p w14:paraId="5DC1750B" w14:textId="77777777" w:rsidR="007F0094" w:rsidRPr="009163F4" w:rsidRDefault="007F0094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405DB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8" w:type="dxa"/>
          </w:tcPr>
          <w:p w14:paraId="52517AC0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Informacja o działalności Banku Spółdzielczego w Iłowej poza terytorium Rzeczypospolitej Polskiej, w podziale na poszczególne państwa członkowskie i państwa trzecie, w których posiada podmioty zależne, na zasadzie skonsolidowanej w rozumieniu art. 4 ust. 1 pkt. 48 Rozporządzenia Parlamentu Europejskiego i Rady (UE) nr 575/2013 z dnia 26 czerwca 2013 r. w sprawie wymogów ostrożnościowych dla instytucji kredytowych i firm inwestycyjnych, zmieniająca rozporządzenie (UE) nr 648/2012 za dany rok obrotowy…………………………………………………..</w:t>
            </w:r>
          </w:p>
          <w:p w14:paraId="1ADEE993" w14:textId="77777777" w:rsidR="00A250DE" w:rsidRPr="009163F4" w:rsidRDefault="00A250DE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Informacja o stopie zwrotu z aktywów obliczonej jako iloraz zysku netto i sumy bilansowej…………………………………………………………………………</w:t>
            </w:r>
          </w:p>
          <w:p w14:paraId="74B36D5D" w14:textId="77777777" w:rsidR="00286371" w:rsidRPr="009163F4" w:rsidRDefault="00286371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Opis systemu zarządzania, w tym systemu zarządzania ryzykiem i sytemu kontroli wewnętrznej……………………………………………………………………….</w:t>
            </w:r>
          </w:p>
          <w:p w14:paraId="22777522" w14:textId="77777777" w:rsidR="00286371" w:rsidRPr="009163F4" w:rsidRDefault="00286371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Opis polityki zmiennych składników wynagrodzeń……………………………….</w:t>
            </w:r>
          </w:p>
          <w:p w14:paraId="5BD56600" w14:textId="77777777" w:rsidR="00286371" w:rsidRPr="009163F4" w:rsidRDefault="00286371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Informacja o powołaniu komitetu do spraw wynagrodzeń………………………...</w:t>
            </w:r>
          </w:p>
          <w:p w14:paraId="24B7073C" w14:textId="77777777" w:rsidR="00286371" w:rsidRPr="009163F4" w:rsidRDefault="00286371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Informacja o spełnianiu przez członków Rady Nadzorczej i Zarządu Banku Spółdzielczego w Iłowej wymogów określonych w art. 22aa ustawy Prawo bankowe…………………………………………………………………………...</w:t>
            </w:r>
          </w:p>
          <w:p w14:paraId="1C9D5E98" w14:textId="77777777" w:rsidR="007F0094" w:rsidRPr="009163F4" w:rsidRDefault="007F0094" w:rsidP="002863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Informacje wynikające z art. 111 b ustawy Prawo bankowe</w:t>
            </w:r>
          </w:p>
        </w:tc>
        <w:tc>
          <w:tcPr>
            <w:tcW w:w="335" w:type="dxa"/>
          </w:tcPr>
          <w:p w14:paraId="5C429FDE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BFFC3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F95D6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3FCD9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7F3F7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70A20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C145E" w14:textId="5281CE44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60A1B" w14:textId="58D2F3A6" w:rsidR="00A250DE" w:rsidRPr="009163F4" w:rsidRDefault="00766F0C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E4E6ADF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66EEA4" w14:textId="77777777" w:rsidR="00A250DE" w:rsidRPr="009163F4" w:rsidRDefault="00A250DE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4DDC659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F03B9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A0E9D50" w14:textId="77777777" w:rsidR="00286371" w:rsidRPr="009163F4" w:rsidRDefault="00701353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DB5B604" w14:textId="77777777" w:rsidR="00286371" w:rsidRPr="009163F4" w:rsidRDefault="00701353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F149AE1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6AB5D" w14:textId="77777777" w:rsidR="00286371" w:rsidRPr="009163F4" w:rsidRDefault="00286371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8F1EA" w14:textId="77777777" w:rsidR="00286371" w:rsidRPr="009163F4" w:rsidRDefault="00701353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E1583C3" w14:textId="77777777" w:rsidR="007F0094" w:rsidRPr="009163F4" w:rsidRDefault="007F0094" w:rsidP="00A250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3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14:paraId="23CD9FDF" w14:textId="77777777" w:rsidR="00A250DE" w:rsidRPr="001B6A51" w:rsidRDefault="00A250DE" w:rsidP="007F0094">
      <w:pPr>
        <w:tabs>
          <w:tab w:val="left" w:pos="1134"/>
        </w:tabs>
        <w:ind w:left="993" w:hanging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27AEB15" w14:textId="77777777" w:rsidR="00A250DE" w:rsidRPr="001B6A51" w:rsidRDefault="00A250DE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0993987" w14:textId="77777777" w:rsidR="00EA255A" w:rsidRPr="001B6A51" w:rsidRDefault="00EA255A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40D305" w14:textId="77777777" w:rsidR="00EA255A" w:rsidRPr="001B6A51" w:rsidRDefault="00EA255A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EEC64FE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DEB5FFB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9CDF5C1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2D59B139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4F0B5D1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7BF22A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B05E391" w14:textId="26F9F27B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DD81C7F" w14:textId="46CA0D60" w:rsidR="00390163" w:rsidRPr="001B6A51" w:rsidRDefault="00390163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50700287" w14:textId="77777777" w:rsidR="00390163" w:rsidRPr="001B6A51" w:rsidRDefault="00390163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BF7EEE4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1949587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394577" w14:textId="77777777" w:rsidR="00286371" w:rsidRPr="001B6A51" w:rsidRDefault="00286371" w:rsidP="00EA255A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2AD5F2" w14:textId="77777777" w:rsidR="00EA255A" w:rsidRPr="001B6A51" w:rsidRDefault="00EA255A" w:rsidP="00EA255A">
      <w:pPr>
        <w:ind w:left="284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51">
        <w:rPr>
          <w:rFonts w:ascii="Times New Roman" w:hAnsi="Times New Roman" w:cs="Times New Roman"/>
          <w:b/>
          <w:sz w:val="24"/>
          <w:szCs w:val="24"/>
        </w:rPr>
        <w:lastRenderedPageBreak/>
        <w:t>I.</w:t>
      </w:r>
      <w:r w:rsidRPr="001B6A51">
        <w:rPr>
          <w:rFonts w:ascii="Times New Roman" w:hAnsi="Times New Roman" w:cs="Times New Roman"/>
          <w:b/>
          <w:sz w:val="24"/>
          <w:szCs w:val="24"/>
        </w:rPr>
        <w:tab/>
        <w:t>Informacja o działalności Banku Spółdzielczego w Iłowej poza terytorium Rzeczypospolitej Polskiej, w podziale na poszczególne państwa członkowskie i państwa trzecie, w których posiada podmioty zależne, na zasadzie skonsolidowanej w rozumieniu art. 4 ust. 1 pkt 48 Rozporządzenia Parlamentu Europejskiego i Rady (UE) nr 575/2013 z dnia 26 czerwca 2013 r. w sprawie wymogów ostrożnościowych dla instytucji kredytowych i firm inwestycyjnych, zmieniające rozporządzenie (UE) nr 648/2012 za dany rok obrotowy.</w:t>
      </w:r>
    </w:p>
    <w:p w14:paraId="425E9E86" w14:textId="0FF6C3C1" w:rsidR="00EA255A" w:rsidRPr="001B6A51" w:rsidRDefault="00EA255A" w:rsidP="00EA255A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>Bank Spółdzielczy w Iłowej nie prowadzi działalności poza terytorium Rzeczypospolitej Polskiej.</w:t>
      </w:r>
      <w:r w:rsidR="00860A9C" w:rsidRPr="001B6A51">
        <w:rPr>
          <w:rFonts w:ascii="Times New Roman" w:hAnsi="Times New Roman" w:cs="Times New Roman"/>
          <w:sz w:val="24"/>
          <w:szCs w:val="24"/>
        </w:rPr>
        <w:t xml:space="preserve"> Bank na dzień 31.12.20</w:t>
      </w:r>
      <w:r w:rsidR="001B6A51" w:rsidRPr="001B6A51">
        <w:rPr>
          <w:rFonts w:ascii="Times New Roman" w:hAnsi="Times New Roman" w:cs="Times New Roman"/>
          <w:sz w:val="24"/>
          <w:szCs w:val="24"/>
        </w:rPr>
        <w:t>20</w:t>
      </w:r>
      <w:r w:rsidRPr="001B6A51">
        <w:rPr>
          <w:rFonts w:ascii="Times New Roman" w:hAnsi="Times New Roman" w:cs="Times New Roman"/>
          <w:sz w:val="24"/>
          <w:szCs w:val="24"/>
        </w:rPr>
        <w:t xml:space="preserve"> roku nie posiadał udziałów w podmiotach zależnych.</w:t>
      </w:r>
    </w:p>
    <w:p w14:paraId="42F44D07" w14:textId="77777777" w:rsidR="00EA255A" w:rsidRPr="001B6A51" w:rsidRDefault="00EA255A" w:rsidP="00EA255A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13BD0EC" w14:textId="77777777" w:rsidR="00EA255A" w:rsidRPr="001B6A51" w:rsidRDefault="00EA255A" w:rsidP="00EA255A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51">
        <w:rPr>
          <w:rFonts w:ascii="Times New Roman" w:hAnsi="Times New Roman" w:cs="Times New Roman"/>
          <w:b/>
          <w:sz w:val="24"/>
          <w:szCs w:val="24"/>
        </w:rPr>
        <w:t>II.</w:t>
      </w:r>
      <w:r w:rsidRPr="001B6A51">
        <w:rPr>
          <w:rFonts w:ascii="Times New Roman" w:hAnsi="Times New Roman" w:cs="Times New Roman"/>
          <w:b/>
          <w:sz w:val="24"/>
          <w:szCs w:val="24"/>
        </w:rPr>
        <w:tab/>
        <w:t>Informacja o stopie zwrotu z aktywów obliczonej jako iloraz zysku netto i sumy bilansowej.</w:t>
      </w:r>
    </w:p>
    <w:p w14:paraId="5ECABD3B" w14:textId="59334836" w:rsidR="00EA255A" w:rsidRPr="001B6A51" w:rsidRDefault="00EA255A" w:rsidP="00EA255A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>Według stanu na 31 grudnia 20</w:t>
      </w:r>
      <w:r w:rsidR="001B6A51" w:rsidRPr="001B6A51">
        <w:rPr>
          <w:rFonts w:ascii="Times New Roman" w:hAnsi="Times New Roman" w:cs="Times New Roman"/>
          <w:sz w:val="24"/>
          <w:szCs w:val="24"/>
        </w:rPr>
        <w:t>20</w:t>
      </w:r>
      <w:r w:rsidRPr="001B6A51">
        <w:rPr>
          <w:rFonts w:ascii="Times New Roman" w:hAnsi="Times New Roman" w:cs="Times New Roman"/>
          <w:sz w:val="24"/>
          <w:szCs w:val="24"/>
        </w:rPr>
        <w:t xml:space="preserve"> roku stopa zwrotu z aktywów (ROA) </w:t>
      </w:r>
      <w:r w:rsidR="00BB016B" w:rsidRPr="001B6A51">
        <w:rPr>
          <w:rFonts w:ascii="Times New Roman" w:hAnsi="Times New Roman" w:cs="Times New Roman"/>
          <w:sz w:val="24"/>
          <w:szCs w:val="24"/>
        </w:rPr>
        <w:t xml:space="preserve">obliczona jako iloraz zysku netto i sumy bilansowej </w:t>
      </w:r>
      <w:r w:rsidRPr="001B6A51">
        <w:rPr>
          <w:rFonts w:ascii="Times New Roman" w:hAnsi="Times New Roman" w:cs="Times New Roman"/>
          <w:sz w:val="24"/>
          <w:szCs w:val="24"/>
        </w:rPr>
        <w:t xml:space="preserve">wyniosła </w:t>
      </w:r>
      <w:r w:rsidR="00973AE3" w:rsidRPr="001B6A51">
        <w:rPr>
          <w:rFonts w:ascii="Times New Roman" w:hAnsi="Times New Roman" w:cs="Times New Roman"/>
          <w:b/>
          <w:sz w:val="24"/>
          <w:szCs w:val="24"/>
        </w:rPr>
        <w:t>0,</w:t>
      </w:r>
      <w:r w:rsidR="001B6A51" w:rsidRPr="001B6A51">
        <w:rPr>
          <w:rFonts w:ascii="Times New Roman" w:hAnsi="Times New Roman" w:cs="Times New Roman"/>
          <w:b/>
          <w:sz w:val="24"/>
          <w:szCs w:val="24"/>
        </w:rPr>
        <w:t>29</w:t>
      </w:r>
      <w:r w:rsidR="00973AE3" w:rsidRPr="001B6A51">
        <w:rPr>
          <w:rFonts w:ascii="Times New Roman" w:hAnsi="Times New Roman" w:cs="Times New Roman"/>
          <w:b/>
          <w:sz w:val="24"/>
          <w:szCs w:val="24"/>
        </w:rPr>
        <w:t>%</w:t>
      </w:r>
      <w:r w:rsidR="005A5A8D" w:rsidRPr="001B6A51">
        <w:rPr>
          <w:rFonts w:ascii="Times New Roman" w:hAnsi="Times New Roman" w:cs="Times New Roman"/>
          <w:b/>
          <w:sz w:val="24"/>
          <w:szCs w:val="24"/>
        </w:rPr>
        <w:t>.</w:t>
      </w:r>
    </w:p>
    <w:p w14:paraId="22CA75EC" w14:textId="77777777" w:rsidR="00973AE3" w:rsidRPr="001B6A51" w:rsidRDefault="00973AE3" w:rsidP="00EA255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1AB161" w14:textId="77777777" w:rsidR="00973AE3" w:rsidRPr="001B6A51" w:rsidRDefault="00973AE3" w:rsidP="00973AE3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6A51">
        <w:rPr>
          <w:rFonts w:ascii="Times New Roman" w:hAnsi="Times New Roman" w:cs="Times New Roman"/>
          <w:b/>
          <w:sz w:val="24"/>
          <w:szCs w:val="24"/>
        </w:rPr>
        <w:t>III.</w:t>
      </w:r>
      <w:r w:rsidRPr="001B6A51">
        <w:rPr>
          <w:rFonts w:ascii="Times New Roman" w:hAnsi="Times New Roman" w:cs="Times New Roman"/>
          <w:b/>
          <w:sz w:val="24"/>
          <w:szCs w:val="24"/>
        </w:rPr>
        <w:tab/>
        <w:t>Opis systemu zarządzania, w tym systemu zarządzania ryzykiem i systemu kontroli wewnętrznej.</w:t>
      </w:r>
    </w:p>
    <w:p w14:paraId="3713BD7E" w14:textId="77777777" w:rsidR="00B77B6B" w:rsidRPr="001B6A51" w:rsidRDefault="00B77B6B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>System zarządzania stanowi zbiór zasad i mechanizmów odnoszących się do procesów decyzyjnych, zachodzących w banku oraz do oceny prowadzonej działalności bankowej. Ma to zapewnić bezpieczeństwo zgromadzonych w Banku środków.</w:t>
      </w:r>
    </w:p>
    <w:p w14:paraId="0B5949CB" w14:textId="77777777" w:rsidR="00B77B6B" w:rsidRPr="001B6A51" w:rsidRDefault="00B77B6B" w:rsidP="00B77B6B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>W ramach systemu zarządzania ryzykiem w Banku funkcjonuje system zarządzania ryzykiem oraz system kontroli wewnętrznej.</w:t>
      </w:r>
    </w:p>
    <w:p w14:paraId="7B709B01" w14:textId="77777777" w:rsidR="00B77B6B" w:rsidRPr="001B6A51" w:rsidRDefault="00B77B6B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>Zarząd banku projektuje, wprowadza oraz zapewnia działanie systemu zarządzania. Rada Nadzorcza banku sprawuje nadzór nad wprowadzaniem systemu zarządzania oraz ocenia adekwatność i skuteczność tego systemu.</w:t>
      </w:r>
    </w:p>
    <w:p w14:paraId="29F7604A" w14:textId="77777777" w:rsidR="00B77B6B" w:rsidRPr="001B6A51" w:rsidRDefault="00B77B6B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1B6A51">
        <w:rPr>
          <w:rFonts w:ascii="Times New Roman" w:hAnsi="Times New Roman" w:cs="Times New Roman"/>
          <w:sz w:val="24"/>
          <w:szCs w:val="24"/>
        </w:rPr>
        <w:t xml:space="preserve">Zadaniem systemu zarządzania ryzykiem są identyfikacja, pomiar lub szacowanie, kontrola oraz monitorowanie ryzyka występującego w działalności banku służące zapewnieniu prawidłowości procesu wyznaczania i realizacji </w:t>
      </w:r>
      <w:r w:rsidR="00F67829" w:rsidRPr="001B6A51">
        <w:rPr>
          <w:rFonts w:ascii="Times New Roman" w:hAnsi="Times New Roman" w:cs="Times New Roman"/>
          <w:sz w:val="24"/>
          <w:szCs w:val="24"/>
        </w:rPr>
        <w:t>szczegółowych celów prowadzonej przez bank działalności.</w:t>
      </w:r>
    </w:p>
    <w:p w14:paraId="1235B227" w14:textId="77777777" w:rsidR="00C6138C" w:rsidRPr="009163F4" w:rsidRDefault="00F67829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t xml:space="preserve">W </w:t>
      </w:r>
      <w:r w:rsidR="00C6138C" w:rsidRPr="009163F4">
        <w:rPr>
          <w:rFonts w:ascii="Times New Roman" w:hAnsi="Times New Roman" w:cs="Times New Roman"/>
          <w:sz w:val="24"/>
          <w:szCs w:val="24"/>
        </w:rPr>
        <w:t>ramach systemu zarządzania ryzykiem</w:t>
      </w:r>
      <w:r w:rsidRPr="009163F4">
        <w:rPr>
          <w:rFonts w:ascii="Times New Roman" w:hAnsi="Times New Roman" w:cs="Times New Roman"/>
          <w:sz w:val="24"/>
          <w:szCs w:val="24"/>
        </w:rPr>
        <w:t xml:space="preserve"> bank</w:t>
      </w:r>
      <w:r w:rsidR="00C6138C" w:rsidRPr="009163F4">
        <w:rPr>
          <w:rFonts w:ascii="Times New Roman" w:hAnsi="Times New Roman" w:cs="Times New Roman"/>
          <w:sz w:val="24"/>
          <w:szCs w:val="24"/>
        </w:rPr>
        <w:t>:</w:t>
      </w:r>
    </w:p>
    <w:p w14:paraId="31004FA5" w14:textId="77777777" w:rsidR="00C6138C" w:rsidRPr="009163F4" w:rsidRDefault="00F67829" w:rsidP="00F67829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t>s</w:t>
      </w:r>
      <w:r w:rsidR="00C6138C" w:rsidRPr="009163F4">
        <w:rPr>
          <w:rFonts w:ascii="Times New Roman" w:hAnsi="Times New Roman" w:cs="Times New Roman"/>
          <w:sz w:val="24"/>
          <w:szCs w:val="24"/>
        </w:rPr>
        <w:t>tosuje sformalizowane zasady służące określaniu wielkości podejmowanego ryzyka i zasady zarządzania ryzykiem.</w:t>
      </w:r>
    </w:p>
    <w:p w14:paraId="73FC3FBC" w14:textId="77777777" w:rsidR="00C6138C" w:rsidRPr="009163F4" w:rsidRDefault="00F67829" w:rsidP="00F67829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t>s</w:t>
      </w:r>
      <w:r w:rsidR="00C6138C" w:rsidRPr="009163F4">
        <w:rPr>
          <w:rFonts w:ascii="Times New Roman" w:hAnsi="Times New Roman" w:cs="Times New Roman"/>
          <w:sz w:val="24"/>
          <w:szCs w:val="24"/>
        </w:rPr>
        <w:t>tosuje sformalizowane procedury mające na celu identyfikację, pomiar lub szacowanie oraz monitorowanie ryzyka występującego w działalności Banku, uwzględniające również przewidywany poziom ryzyka w przyszłości.</w:t>
      </w:r>
    </w:p>
    <w:p w14:paraId="2F26047C" w14:textId="77777777" w:rsidR="00C6138C" w:rsidRPr="009163F4" w:rsidRDefault="00F67829" w:rsidP="00F67829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t>s</w:t>
      </w:r>
      <w:r w:rsidR="00C6138C" w:rsidRPr="009163F4">
        <w:rPr>
          <w:rFonts w:ascii="Times New Roman" w:hAnsi="Times New Roman" w:cs="Times New Roman"/>
          <w:sz w:val="24"/>
          <w:szCs w:val="24"/>
        </w:rPr>
        <w:t>tosuje sformalizowane limity ograniczające ryzyko i zasady postępowania w przypadku przekroczenia limitów.</w:t>
      </w:r>
    </w:p>
    <w:p w14:paraId="6086E62E" w14:textId="77777777" w:rsidR="00C6138C" w:rsidRPr="009163F4" w:rsidRDefault="00F67829" w:rsidP="00F67829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t>s</w:t>
      </w:r>
      <w:r w:rsidR="00C6138C" w:rsidRPr="009163F4">
        <w:rPr>
          <w:rFonts w:ascii="Times New Roman" w:hAnsi="Times New Roman" w:cs="Times New Roman"/>
          <w:sz w:val="24"/>
          <w:szCs w:val="24"/>
        </w:rPr>
        <w:t>tosuje przyjęty system sprawozdawczości zarządczej umożliwiający monitorowanie poziomu ryzyka,</w:t>
      </w:r>
    </w:p>
    <w:p w14:paraId="32396A73" w14:textId="77777777" w:rsidR="00C6138C" w:rsidRPr="009163F4" w:rsidRDefault="00F67829" w:rsidP="00F67829">
      <w:pPr>
        <w:pStyle w:val="Akapitzlist"/>
        <w:numPr>
          <w:ilvl w:val="0"/>
          <w:numId w:val="10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63F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C6138C" w:rsidRPr="009163F4">
        <w:rPr>
          <w:rFonts w:ascii="Times New Roman" w:hAnsi="Times New Roman" w:cs="Times New Roman"/>
          <w:sz w:val="24"/>
          <w:szCs w:val="24"/>
        </w:rPr>
        <w:t>osiada strukturę organizacyjną dostosowaną do wielkości i profilu ponoszonego przez Bank ryzyka.</w:t>
      </w:r>
    </w:p>
    <w:p w14:paraId="5FB57B4B" w14:textId="77777777" w:rsidR="00550125" w:rsidRPr="00D15EDB" w:rsidRDefault="00550125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Podejmowanie ryzyka zmusza Bank do koncentrowania uwagi na powstających zagrożeniach, poszukiwania form obrony przed zagrożeniami i dostosowania działalności do zmieniających się warunków zewnętrznych. Ostrożnościowe podejmowanie ryzyka, oznacza utrzymywanie racjonalnej równowagi pomiędzy prowadzeniem działalności przychodowej i kontrolowaniem ryzyka.</w:t>
      </w:r>
    </w:p>
    <w:p w14:paraId="5047CAF4" w14:textId="77777777" w:rsidR="00D92CFD" w:rsidRPr="00D15EDB" w:rsidRDefault="00D92CFD" w:rsidP="00550125">
      <w:pPr>
        <w:jc w:val="both"/>
        <w:rPr>
          <w:rFonts w:ascii="Times New Roman" w:hAnsi="Times New Roman" w:cs="Times New Roman"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W Banku funkcjonuje Strategia zarządzania poszczególnymi rodzajami ryzyka, która zawiera następujące cele strategiczne:</w:t>
      </w:r>
    </w:p>
    <w:p w14:paraId="6D41E341" w14:textId="77777777" w:rsidR="00FD4BF4" w:rsidRPr="00D15EDB" w:rsidRDefault="00D92CFD" w:rsidP="00FD4BF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1.</w:t>
      </w:r>
      <w:r w:rsidR="00FD4BF4" w:rsidRPr="00D15EDB">
        <w:rPr>
          <w:rFonts w:ascii="Times New Roman" w:hAnsi="Times New Roman" w:cs="Times New Roman"/>
          <w:sz w:val="24"/>
          <w:szCs w:val="24"/>
        </w:rPr>
        <w:tab/>
      </w:r>
      <w:r w:rsidR="00FD4BF4" w:rsidRPr="00D15EDB">
        <w:rPr>
          <w:rFonts w:ascii="Times New Roman" w:hAnsi="Times New Roman" w:cs="Times New Roman"/>
          <w:bCs/>
          <w:sz w:val="24"/>
          <w:szCs w:val="24"/>
        </w:rPr>
        <w:t>Podstawowym celem strategicznym w zakresie adekwatności kapitałowej jest budowa odpowiednich funduszy własnych, zapewniających bezpieczeństwo zgromadzonych depozytów, przy osiąganiu planowanego poziomu rentowności prowadzonej działalności.</w:t>
      </w:r>
    </w:p>
    <w:p w14:paraId="13B8350B" w14:textId="77777777" w:rsidR="00FD4BF4" w:rsidRPr="00D15EDB" w:rsidRDefault="00FD4BF4" w:rsidP="00FD4BF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2.</w:t>
      </w:r>
      <w:r w:rsidRPr="00D15EDB">
        <w:rPr>
          <w:rFonts w:ascii="Times New Roman" w:hAnsi="Times New Roman" w:cs="Times New Roman"/>
          <w:sz w:val="24"/>
          <w:szCs w:val="24"/>
        </w:rPr>
        <w:tab/>
      </w:r>
      <w:r w:rsidRPr="00D15EDB">
        <w:rPr>
          <w:rFonts w:ascii="Times New Roman" w:hAnsi="Times New Roman" w:cs="Times New Roman"/>
          <w:bCs/>
          <w:sz w:val="24"/>
          <w:szCs w:val="24"/>
        </w:rPr>
        <w:t>Celem strategicznym w zakresie działalności kredytowej jest budowa odpowiedniego do posiadanych funduszy własnych bezpiecznego portfela kredytowego oraz portfela inwestycji finansowych, zapewniającego odpowiedni poziom dochodowości.</w:t>
      </w:r>
    </w:p>
    <w:p w14:paraId="1CD7A75D" w14:textId="77777777" w:rsidR="00FD4BF4" w:rsidRPr="00D15EDB" w:rsidRDefault="00FD4BF4" w:rsidP="00FD4BF4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3.</w:t>
      </w:r>
      <w:r w:rsidRPr="00D15EDB">
        <w:rPr>
          <w:rFonts w:ascii="Times New Roman" w:hAnsi="Times New Roman" w:cs="Times New Roman"/>
          <w:sz w:val="24"/>
          <w:szCs w:val="24"/>
        </w:rPr>
        <w:tab/>
      </w:r>
      <w:r w:rsidRPr="00D15EDB">
        <w:rPr>
          <w:rFonts w:ascii="Times New Roman" w:hAnsi="Times New Roman" w:cs="Times New Roman"/>
          <w:bCs/>
          <w:sz w:val="24"/>
          <w:szCs w:val="24"/>
        </w:rPr>
        <w:t>Celem strategicznym Banku w zarządzaniu płynnością jest peł</w:t>
      </w:r>
      <w:r w:rsidR="004C095A" w:rsidRPr="00D15EDB">
        <w:rPr>
          <w:rFonts w:ascii="Times New Roman" w:hAnsi="Times New Roman" w:cs="Times New Roman"/>
          <w:bCs/>
          <w:sz w:val="24"/>
          <w:szCs w:val="24"/>
        </w:rPr>
        <w:t>ne zabezpieczenie jego pł</w:t>
      </w:r>
      <w:r w:rsidRPr="00D15EDB">
        <w:rPr>
          <w:rFonts w:ascii="Times New Roman" w:hAnsi="Times New Roman" w:cs="Times New Roman"/>
          <w:bCs/>
          <w:sz w:val="24"/>
          <w:szCs w:val="24"/>
        </w:rPr>
        <w:t>ynności, minimalizacja ryzyka utraty płynności przez Bank w przyszłości oraz optymalne zarządzanie nadwyżkami środków finansowych.</w:t>
      </w:r>
    </w:p>
    <w:p w14:paraId="183C4F63" w14:textId="77777777" w:rsidR="00FD4BF4" w:rsidRPr="00D15EDB" w:rsidRDefault="00FD4BF4" w:rsidP="00FD4BF4">
      <w:pPr>
        <w:pStyle w:val="Tekstpodstawowy"/>
        <w:widowControl/>
        <w:suppressAutoHyphens w:val="0"/>
        <w:spacing w:after="0" w:line="276" w:lineRule="auto"/>
        <w:ind w:left="284" w:hanging="284"/>
        <w:jc w:val="both"/>
      </w:pPr>
      <w:r w:rsidRPr="00D15EDB">
        <w:t>4.</w:t>
      </w:r>
      <w:r w:rsidRPr="00D15EDB">
        <w:tab/>
        <w:t>Celem zarządzania ryzykiem stopy procentowej jest utrzymanie relacji przychodów i kosztów odsetkowych oraz bilansowej wartości zaktualizowanej kapitału wynikającej ze zmian stóp procentowych, w granicach nie zagrażających bezpieczeństwu Banku i akceptowanych przez Radę Nadzorczą.</w:t>
      </w:r>
    </w:p>
    <w:p w14:paraId="5CBE5012" w14:textId="77777777" w:rsidR="00FD4BF4" w:rsidRPr="00D15EDB" w:rsidRDefault="00FD4BF4" w:rsidP="00FD4BF4">
      <w:pPr>
        <w:pStyle w:val="Tekstpodstawowy"/>
        <w:spacing w:line="276" w:lineRule="auto"/>
        <w:ind w:left="284" w:hanging="284"/>
        <w:jc w:val="both"/>
      </w:pPr>
      <w:r w:rsidRPr="00D15EDB">
        <w:t>5.</w:t>
      </w:r>
      <w:r w:rsidRPr="00D15EDB">
        <w:tab/>
        <w:t>Celem strategicznym w zakresie zarządzania ryzykiem operacyjnym oraz ryzykiem braku zgodności w Banku jest ograniczanie ryzyka występowania strat operacyjnych oraz dążenie do ich minimalizowania.</w:t>
      </w:r>
    </w:p>
    <w:p w14:paraId="0C12AAD8" w14:textId="77777777" w:rsidR="00FD4BF4" w:rsidRPr="00D15EDB" w:rsidRDefault="00FD4BF4" w:rsidP="00FD4BF4">
      <w:pPr>
        <w:tabs>
          <w:tab w:val="left" w:pos="284"/>
        </w:tabs>
        <w:spacing w:line="276" w:lineRule="auto"/>
        <w:ind w:left="284" w:hanging="284"/>
        <w:jc w:val="both"/>
        <w:rPr>
          <w:b/>
          <w:bCs/>
        </w:rPr>
      </w:pPr>
      <w:r w:rsidRPr="00D15EDB">
        <w:rPr>
          <w:rFonts w:ascii="Times New Roman" w:hAnsi="Times New Roman" w:cs="Times New Roman"/>
          <w:sz w:val="24"/>
          <w:szCs w:val="24"/>
        </w:rPr>
        <w:t>6.</w:t>
      </w:r>
      <w:r w:rsidRPr="00D15EDB">
        <w:rPr>
          <w:rFonts w:ascii="Times New Roman" w:hAnsi="Times New Roman" w:cs="Times New Roman"/>
          <w:sz w:val="24"/>
          <w:szCs w:val="24"/>
        </w:rPr>
        <w:tab/>
      </w:r>
      <w:r w:rsidRPr="00D15EDB">
        <w:rPr>
          <w:rFonts w:ascii="Times New Roman" w:hAnsi="Times New Roman" w:cs="Times New Roman"/>
          <w:bCs/>
          <w:sz w:val="24"/>
          <w:szCs w:val="24"/>
        </w:rPr>
        <w:t>Cele strategiczne (Polityka długoterminowa) w zakresie zarządzania ryzykiem walutowym (rynkowym). Podstawowym celem zarządzania ryzykiem walutowym jest ograniczanie skutków narażenia Banku oraz Klientów na nieoczekiwane zmiany kursów walut.</w:t>
      </w:r>
    </w:p>
    <w:p w14:paraId="4330CDF3" w14:textId="5BE73648" w:rsidR="00D92CFD" w:rsidRPr="00D15EDB" w:rsidRDefault="00BC42B8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 xml:space="preserve">Działania  związane z zarządzaniem ryzykiem mają wspierać proces wyznaczania i realizacji szczegółowych celów działalności prowadzonej przez Bank. Odpowiedzialność za skuteczne zarządzanie ryzykiem ponosi Zarząd Banku. Bezpośredni nadzór nad systemem zarządzania </w:t>
      </w:r>
      <w:proofErr w:type="spellStart"/>
      <w:r w:rsidRPr="00D15EDB">
        <w:rPr>
          <w:rFonts w:ascii="Times New Roman" w:hAnsi="Times New Roman" w:cs="Times New Roman"/>
          <w:sz w:val="24"/>
          <w:szCs w:val="24"/>
        </w:rPr>
        <w:t>ryzykami</w:t>
      </w:r>
      <w:proofErr w:type="spellEnd"/>
      <w:r w:rsidRPr="00D15EDB">
        <w:rPr>
          <w:rFonts w:ascii="Times New Roman" w:hAnsi="Times New Roman" w:cs="Times New Roman"/>
          <w:sz w:val="24"/>
          <w:szCs w:val="24"/>
        </w:rPr>
        <w:t xml:space="preserve"> istotnymi sprawuje zgodnie z </w:t>
      </w:r>
      <w:r w:rsidR="005A5A8D" w:rsidRPr="00D15EDB">
        <w:rPr>
          <w:rFonts w:ascii="Times New Roman" w:hAnsi="Times New Roman" w:cs="Times New Roman"/>
          <w:sz w:val="24"/>
          <w:szCs w:val="24"/>
        </w:rPr>
        <w:t>art</w:t>
      </w:r>
      <w:r w:rsidRPr="00D15EDB">
        <w:rPr>
          <w:rFonts w:ascii="Times New Roman" w:hAnsi="Times New Roman" w:cs="Times New Roman"/>
          <w:sz w:val="24"/>
          <w:szCs w:val="24"/>
        </w:rPr>
        <w:t>. 20a ust. 1 Prawa bankowego Prezes Zarządu.</w:t>
      </w:r>
    </w:p>
    <w:p w14:paraId="4259C6EF" w14:textId="77777777" w:rsidR="00BC42B8" w:rsidRPr="00D15EDB" w:rsidRDefault="00BC42B8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>Rada Nadzorcza zatwierdza i nadzoruje realizację strategii zarządzania ryzykiem sprawując tym samym nadzór nad skutecznością systemu zarządzania ryzykiem.</w:t>
      </w:r>
    </w:p>
    <w:p w14:paraId="093188A2" w14:textId="77777777" w:rsidR="00BC42B8" w:rsidRPr="00344584" w:rsidRDefault="00BC42B8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5EDB">
        <w:rPr>
          <w:rFonts w:ascii="Times New Roman" w:hAnsi="Times New Roman" w:cs="Times New Roman"/>
          <w:sz w:val="24"/>
          <w:szCs w:val="24"/>
        </w:rPr>
        <w:t xml:space="preserve">W procesie zarządzania ryzykiem w Banku uczestniczą następujące organy, jednostki, i </w:t>
      </w:r>
      <w:r w:rsidRPr="00344584">
        <w:rPr>
          <w:rFonts w:ascii="Times New Roman" w:hAnsi="Times New Roman" w:cs="Times New Roman"/>
          <w:sz w:val="24"/>
          <w:szCs w:val="24"/>
        </w:rPr>
        <w:t>komórki organizacyjne:</w:t>
      </w:r>
    </w:p>
    <w:p w14:paraId="4C535F1B" w14:textId="77777777" w:rsidR="00BC42B8" w:rsidRPr="00344584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Rada Nadzorcza </w:t>
      </w:r>
      <w:r w:rsidRPr="00344584">
        <w:rPr>
          <w:rFonts w:ascii="Times New Roman" w:hAnsi="Times New Roman" w:cs="Times New Roman"/>
          <w:sz w:val="24"/>
          <w:szCs w:val="24"/>
        </w:rPr>
        <w:t xml:space="preserve">dokonuje okresowej oceny realizacji przez Zarząd założeń Strategii w odniesieniu do zasad zarządzania ryzykiem oraz alokacji kapitału na pokrycie istotnych rodzajów ryzyka w Banku. W tym celu Zarząd Banku okresowo przedkłada Radzie </w:t>
      </w:r>
      <w:r w:rsidRPr="00344584">
        <w:rPr>
          <w:rFonts w:ascii="Times New Roman" w:hAnsi="Times New Roman" w:cs="Times New Roman"/>
          <w:sz w:val="24"/>
          <w:szCs w:val="24"/>
        </w:rPr>
        <w:lastRenderedPageBreak/>
        <w:t>Nadzorczej syntetyczną informację na temat skali i rodzajów ryzyka, na które narażony jest Bank, prawdopodobieństwa jego występowania, skutków i metod zarządzania poszczególnymi rodzajami ryzyka. Rada Nadzorcza sprawuje nadzór nad kontrolą systemu zarządzania ryzykiem oraz ocenia jej adekwatność i skuteczność. Rada Banku zatwierdza w planie ekonomiczno-finansowym ogólny poziom (profil) ryzyka Banku (apetyt na ryzyko).</w:t>
      </w:r>
    </w:p>
    <w:p w14:paraId="357467C0" w14:textId="77777777" w:rsidR="00BC42B8" w:rsidRPr="00344584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Zarząd Banku </w:t>
      </w:r>
      <w:r w:rsidRPr="00344584">
        <w:rPr>
          <w:rFonts w:ascii="Times New Roman" w:hAnsi="Times New Roman" w:cs="Times New Roman"/>
          <w:sz w:val="24"/>
          <w:szCs w:val="24"/>
        </w:rPr>
        <w:t>odpowiada za opracowanie i wdrożenie strategii zarządzania  poszczególnymi rodzajami ryzyka, w tym za zorganizowanie, wdrożenie i funkcjonowanie systemu zarządzania ryzykiem oraz, jeśli to konieczne – dokonania weryfikacji w celu usprawnienia tego systemu. Instrukcje i procedury zarządzania ryzykiem obejmują pełny zakres działalności Banku.</w:t>
      </w:r>
    </w:p>
    <w:p w14:paraId="4DBCFB87" w14:textId="77777777" w:rsidR="00BC42B8" w:rsidRPr="00344584" w:rsidRDefault="000B40A9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84">
        <w:rPr>
          <w:rFonts w:ascii="Times New Roman" w:hAnsi="Times New Roman" w:cs="Times New Roman"/>
          <w:b/>
          <w:bCs/>
          <w:sz w:val="24"/>
          <w:szCs w:val="24"/>
        </w:rPr>
        <w:t>Prezes</w:t>
      </w:r>
      <w:r w:rsidR="00BC42B8"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 Zarządu nadzorujący zarządzanie ryzykiem istotnym – </w:t>
      </w:r>
      <w:r w:rsidR="00BC42B8" w:rsidRPr="00344584">
        <w:rPr>
          <w:rFonts w:ascii="Times New Roman" w:hAnsi="Times New Roman" w:cs="Times New Roman"/>
          <w:bCs/>
          <w:sz w:val="24"/>
          <w:szCs w:val="24"/>
        </w:rPr>
        <w:t>odpowiada za dostarczenie Radzie Nadzorczej i Zarządowi rzetelnych sprawozdań w zakresie zarządzania ryzykiem istotnym. W Banku funkcję ww. Członka Zarządu pełni Prezes Zarządu.</w:t>
      </w:r>
    </w:p>
    <w:p w14:paraId="660A4E85" w14:textId="77777777" w:rsidR="00BC42B8" w:rsidRPr="00344584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84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B40A9"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omitet </w:t>
      </w:r>
      <w:r w:rsidRPr="00344584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B40A9"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arządzania </w:t>
      </w:r>
      <w:proofErr w:type="spellStart"/>
      <w:r w:rsidRPr="00344584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B40A9" w:rsidRPr="00344584">
        <w:rPr>
          <w:rFonts w:ascii="Times New Roman" w:hAnsi="Times New Roman" w:cs="Times New Roman"/>
          <w:b/>
          <w:bCs/>
          <w:sz w:val="24"/>
          <w:szCs w:val="24"/>
        </w:rPr>
        <w:t>yzykami</w:t>
      </w:r>
      <w:proofErr w:type="spellEnd"/>
      <w:r w:rsidR="000B40A9"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584">
        <w:rPr>
          <w:rFonts w:ascii="Times New Roman" w:hAnsi="Times New Roman" w:cs="Times New Roman"/>
          <w:bCs/>
          <w:sz w:val="24"/>
          <w:szCs w:val="24"/>
        </w:rPr>
        <w:t xml:space="preserve">inicjuje i koordynuje działania w zakresie identyfikacji, pomiaru, limitowania monitorowania i raportowania ryzyka. Opiniuje podejmowanie działań, zmierzających do utrzymania ryzyka na akceptowalnym poziomie. Skład i szczegółowe zadania komitetu określa „Regulamin działania Komitetu Zarządzania </w:t>
      </w:r>
      <w:proofErr w:type="spellStart"/>
      <w:r w:rsidRPr="00344584">
        <w:rPr>
          <w:rFonts w:ascii="Times New Roman" w:hAnsi="Times New Roman" w:cs="Times New Roman"/>
          <w:bCs/>
          <w:sz w:val="24"/>
          <w:szCs w:val="24"/>
        </w:rPr>
        <w:t>Ryzykami</w:t>
      </w:r>
      <w:proofErr w:type="spellEnd"/>
      <w:r w:rsidRPr="00344584">
        <w:rPr>
          <w:rFonts w:ascii="Times New Roman" w:hAnsi="Times New Roman" w:cs="Times New Roman"/>
          <w:bCs/>
          <w:sz w:val="24"/>
          <w:szCs w:val="24"/>
        </w:rPr>
        <w:t xml:space="preserve">”. </w:t>
      </w:r>
    </w:p>
    <w:p w14:paraId="34733469" w14:textId="3B0AEF44" w:rsidR="00BC42B8" w:rsidRPr="00344584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44584">
        <w:rPr>
          <w:rFonts w:ascii="Times New Roman" w:hAnsi="Times New Roman" w:cs="Times New Roman"/>
          <w:b/>
          <w:bCs/>
          <w:sz w:val="24"/>
          <w:szCs w:val="24"/>
        </w:rPr>
        <w:t xml:space="preserve">Komitet Kredytowy </w:t>
      </w:r>
      <w:r w:rsidRPr="00344584">
        <w:rPr>
          <w:rFonts w:ascii="Times New Roman" w:hAnsi="Times New Roman" w:cs="Times New Roman"/>
          <w:sz w:val="24"/>
          <w:szCs w:val="24"/>
        </w:rPr>
        <w:t>uczestniczy w procesie opiniowania transakcji kredytowych oraz ich klasyfikacji pod kątem ryzyka ponoszonego przez Bank. Skład i szczegółowe zadania Komitetu określa „Regulamin działania Komitetu Kredytowego”</w:t>
      </w:r>
      <w:r w:rsidR="00344584">
        <w:rPr>
          <w:rFonts w:ascii="Times New Roman" w:hAnsi="Times New Roman" w:cs="Times New Roman"/>
          <w:sz w:val="24"/>
          <w:szCs w:val="24"/>
        </w:rPr>
        <w:t>.</w:t>
      </w:r>
    </w:p>
    <w:p w14:paraId="6448FF42" w14:textId="77777777" w:rsidR="00224C3D" w:rsidRPr="00224C3D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C3D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0B40A9"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tanowisko </w:t>
      </w:r>
      <w:r w:rsidRPr="00224C3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0B40A9"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arządzania </w:t>
      </w:r>
      <w:proofErr w:type="spellStart"/>
      <w:r w:rsidRPr="00224C3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B40A9" w:rsidRPr="00224C3D">
        <w:rPr>
          <w:rFonts w:ascii="Times New Roman" w:hAnsi="Times New Roman" w:cs="Times New Roman"/>
          <w:b/>
          <w:bCs/>
          <w:sz w:val="24"/>
          <w:szCs w:val="24"/>
        </w:rPr>
        <w:t>yzykami</w:t>
      </w:r>
      <w:proofErr w:type="spellEnd"/>
      <w:r w:rsidR="000B40A9"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323B"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i Analiz </w:t>
      </w:r>
      <w:r w:rsidR="000B40A9"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24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4C3D">
        <w:rPr>
          <w:rFonts w:ascii="Times New Roman" w:hAnsi="Times New Roman" w:cs="Times New Roman"/>
          <w:sz w:val="24"/>
          <w:szCs w:val="24"/>
        </w:rPr>
        <w:t xml:space="preserve">monitoruje realizację wyznaczonych celów i zadań strategicznych, procesów tworzenia zysku oraz przedstawia i monitoruje pozycję Banku w zakresie bezpieczeństwa finansowego i operacyjnego. Podstawowe zadania Stanowiska to gromadzenie, przetwarzanie, pomiar i raportowanie odpowiednim organom i komórkom Banku, informacji dotyczących podejmowanego przez Bank ryzyka oraz opracowywanie regulacji wewnętrznych w zakresie zarządzania </w:t>
      </w:r>
      <w:proofErr w:type="spellStart"/>
      <w:r w:rsidRPr="00224C3D">
        <w:rPr>
          <w:rFonts w:ascii="Times New Roman" w:hAnsi="Times New Roman" w:cs="Times New Roman"/>
          <w:sz w:val="24"/>
          <w:szCs w:val="24"/>
        </w:rPr>
        <w:t>ryzykami</w:t>
      </w:r>
      <w:proofErr w:type="spellEnd"/>
      <w:r w:rsidRPr="00224C3D">
        <w:rPr>
          <w:rFonts w:ascii="Times New Roman" w:hAnsi="Times New Roman" w:cs="Times New Roman"/>
          <w:sz w:val="24"/>
          <w:szCs w:val="24"/>
        </w:rPr>
        <w:t xml:space="preserve"> oraz szacowania wewnętrznych wymogów kapitałowych z tytułu poszczególnych rodzajów ryzyka. </w:t>
      </w:r>
    </w:p>
    <w:p w14:paraId="42AE6FCB" w14:textId="275C53E9" w:rsidR="00BC42B8" w:rsidRPr="00224C3D" w:rsidRDefault="00224C3D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24C3D">
        <w:rPr>
          <w:rFonts w:ascii="Times New Roman" w:hAnsi="Times New Roman" w:cs="Times New Roman"/>
          <w:b/>
          <w:bCs/>
          <w:sz w:val="24"/>
          <w:szCs w:val="24"/>
        </w:rPr>
        <w:t>Komórka ds. zgodności</w:t>
      </w:r>
      <w:r w:rsidRPr="00224C3D">
        <w:rPr>
          <w:rFonts w:ascii="Times New Roman" w:hAnsi="Times New Roman" w:cs="Times New Roman"/>
          <w:sz w:val="24"/>
          <w:szCs w:val="24"/>
        </w:rPr>
        <w:t xml:space="preserve"> -</w:t>
      </w:r>
      <w:r w:rsidR="00BC42B8" w:rsidRPr="00224C3D">
        <w:rPr>
          <w:rFonts w:ascii="Times New Roman" w:hAnsi="Times New Roman" w:cs="Times New Roman"/>
          <w:sz w:val="24"/>
          <w:szCs w:val="24"/>
        </w:rPr>
        <w:t xml:space="preserve"> opracowuje wewnętrzne regulacje w zakresie zarządzania ryzykiem braku zgodności</w:t>
      </w:r>
      <w:r w:rsidRPr="00224C3D">
        <w:rPr>
          <w:rFonts w:ascii="Times New Roman" w:hAnsi="Times New Roman" w:cs="Times New Roman"/>
          <w:sz w:val="24"/>
          <w:szCs w:val="24"/>
        </w:rPr>
        <w:t xml:space="preserve">, monitoruje ryzyko braku zgodności </w:t>
      </w:r>
      <w:r w:rsidR="00BC42B8" w:rsidRPr="00224C3D">
        <w:rPr>
          <w:rFonts w:ascii="Times New Roman" w:hAnsi="Times New Roman" w:cs="Times New Roman"/>
          <w:sz w:val="24"/>
          <w:szCs w:val="24"/>
        </w:rPr>
        <w:t xml:space="preserve"> poprzez prowadzenie działań wyjaśniających oraz testy zgodności, sporządza raporty w zakresie ryzyka braku zgodności do Zarządu i Rady Nadzorczej, odpowiada za spójność regulacji wewnętrznych.</w:t>
      </w:r>
    </w:p>
    <w:p w14:paraId="39039BCF" w14:textId="77777777" w:rsidR="00BC42B8" w:rsidRPr="00537EF6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EF6">
        <w:rPr>
          <w:rFonts w:ascii="Times New Roman" w:hAnsi="Times New Roman" w:cs="Times New Roman"/>
          <w:b/>
          <w:bCs/>
          <w:sz w:val="24"/>
          <w:szCs w:val="24"/>
        </w:rPr>
        <w:t xml:space="preserve">Audyt wewnętrzny </w:t>
      </w:r>
      <w:r w:rsidRPr="00537EF6">
        <w:rPr>
          <w:rFonts w:ascii="Times New Roman" w:hAnsi="Times New Roman" w:cs="Times New Roman"/>
          <w:sz w:val="24"/>
          <w:szCs w:val="24"/>
        </w:rPr>
        <w:t>ma za zadanie kontrolę i ocenę skuteczności działania systemu zarządzania ryzykiem oraz dokonywanie regularnych przeglądów prawidłowości przestrzegania zasad zarządzania ryzykiem, obowiązujących w Banku. Audyt dostarcza obiektywnej oceny adekwatności i skuteczności funkcjonującego systemu zarządzania oraz zgodności przeprowadzanych operacji bankowych z wewnętrznymi regulacjami Banku. Zadania audytu wewnętrznego Bank powierza na podstawie umowy ochrony Jednostce zarządzającej systemem ochrony.</w:t>
      </w:r>
    </w:p>
    <w:p w14:paraId="5A7D1E9A" w14:textId="77777777" w:rsidR="00BC42B8" w:rsidRPr="00537EF6" w:rsidRDefault="00BC42B8" w:rsidP="00BC42B8">
      <w:pPr>
        <w:widowControl w:val="0"/>
        <w:numPr>
          <w:ilvl w:val="0"/>
          <w:numId w:val="1"/>
        </w:numPr>
        <w:tabs>
          <w:tab w:val="clear" w:pos="720"/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7EF6">
        <w:rPr>
          <w:rFonts w:ascii="Times New Roman" w:hAnsi="Times New Roman" w:cs="Times New Roman"/>
          <w:b/>
          <w:bCs/>
          <w:sz w:val="24"/>
          <w:szCs w:val="24"/>
        </w:rPr>
        <w:t xml:space="preserve">Pozostali pracownicy Banku </w:t>
      </w:r>
      <w:r w:rsidRPr="00537EF6">
        <w:rPr>
          <w:rFonts w:ascii="Times New Roman" w:hAnsi="Times New Roman" w:cs="Times New Roman"/>
          <w:sz w:val="24"/>
          <w:szCs w:val="24"/>
        </w:rPr>
        <w:t>mają obowiązek przestrzegania zasad zarządzania poszczególnymi rodzajami ryzyka, obowiązujących w Banku w formie wewnętrznych regulacji i zaleceń, uczestnictwa w postępowaniu wyjaśniającym przyczyny wystąpienia zdarzeń generujących ryzyko oraz raportowania tych zdarzeń.</w:t>
      </w:r>
    </w:p>
    <w:p w14:paraId="0D0BE1F3" w14:textId="77777777" w:rsidR="00BC42B8" w:rsidRPr="001B6A51" w:rsidRDefault="00BC42B8" w:rsidP="00FD4BF4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BE7DF40" w14:textId="77777777" w:rsidR="00F41CEB" w:rsidRPr="00BB0AFE" w:rsidRDefault="00F41CEB" w:rsidP="00FD4BF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AFE">
        <w:rPr>
          <w:rFonts w:ascii="Times New Roman" w:hAnsi="Times New Roman" w:cs="Times New Roman"/>
          <w:b/>
          <w:sz w:val="24"/>
          <w:szCs w:val="24"/>
        </w:rPr>
        <w:lastRenderedPageBreak/>
        <w:t>System kontroli wewnętrznej</w:t>
      </w:r>
    </w:p>
    <w:p w14:paraId="296C6807" w14:textId="77777777" w:rsidR="00D17FD0" w:rsidRPr="00BB0AFE" w:rsidRDefault="00D17FD0" w:rsidP="00D17FD0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 xml:space="preserve">Funkcjonujący w Banku system kontroli wewnętrznej jest dostosowany do ogólnego profilu ryzyka, tj. obejmuje w szczególności obszary obarczone wysokim ryzykiem. </w:t>
      </w:r>
    </w:p>
    <w:p w14:paraId="3EDF9CD9" w14:textId="77777777" w:rsidR="00D17FD0" w:rsidRPr="00BB0AFE" w:rsidRDefault="00D17FD0" w:rsidP="00D17FD0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Przez obszary obarczone wysokim ryzykiem należy rozumieć te obszary działania jednostek lub komórek organizacyjnych, gdzie istnieje potencjalne niebezpieczeństwo wystąpienia nieprawidłowości, które mogą wywoływać niepożądane skutki finansowe lub negatywne zjawiska godzące w bezpieczeństwo i reputację funkcjonowania Banku.</w:t>
      </w:r>
    </w:p>
    <w:p w14:paraId="2391158A" w14:textId="77777777" w:rsidR="00D17FD0" w:rsidRPr="00BB0AFE" w:rsidRDefault="00D17FD0" w:rsidP="00D17FD0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W szczególności do obszarów obarczonych ryzykiem w banku zalicza się działalność kredytową, obsługę klienta, rozliczenia, działalność kasowo-skarbcową, zarządzanie bankiem.</w:t>
      </w:r>
    </w:p>
    <w:p w14:paraId="0FF40768" w14:textId="77777777" w:rsidR="00D17FD0" w:rsidRPr="00BB0AFE" w:rsidRDefault="00D17FD0" w:rsidP="00D17FD0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Do ww. obszarów należy zaliczyć również bezpieczeństwo fizyczne i informatyczne oraz dbałość o wizerunek i dobre imię Banku.</w:t>
      </w:r>
    </w:p>
    <w:p w14:paraId="1FCCE412" w14:textId="77777777" w:rsidR="00D17FD0" w:rsidRPr="00BB0AFE" w:rsidRDefault="00D17FD0" w:rsidP="00D17FD0">
      <w:pPr>
        <w:pStyle w:val="Zwykytekst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Obszary działalności danej komórki organizacyjnej Banku, gdzie stwierdzono w trakcie przeprowadzania kontroli, zarówno wewnętrznych jak i zewnętrznych szczególnie dużo błędów i nieprawidłowości zalicza się także do obszarów obarczonych wyższym ryzykiem.</w:t>
      </w:r>
    </w:p>
    <w:p w14:paraId="12563E5D" w14:textId="77777777" w:rsidR="00F41CEB" w:rsidRPr="00BB0AFE" w:rsidRDefault="00F41CEB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A335A1" w14:textId="77777777" w:rsidR="00D17FD0" w:rsidRPr="00BB0AFE" w:rsidRDefault="00D17FD0" w:rsidP="00D17FD0">
      <w:pPr>
        <w:widowControl w:val="0"/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W ramach systemu kontroli wewnętrznej Bank identyfikuje i ocenia ryzyko bankowe.</w:t>
      </w:r>
      <w:r w:rsidR="00AD0681" w:rsidRPr="00BB0AFE">
        <w:rPr>
          <w:rFonts w:ascii="Times New Roman" w:hAnsi="Times New Roman" w:cs="Times New Roman"/>
          <w:sz w:val="24"/>
          <w:szCs w:val="24"/>
        </w:rPr>
        <w:t xml:space="preserve"> </w:t>
      </w:r>
      <w:r w:rsidRPr="00BB0AFE">
        <w:rPr>
          <w:rFonts w:ascii="Times New Roman" w:hAnsi="Times New Roman" w:cs="Times New Roman"/>
          <w:sz w:val="24"/>
          <w:szCs w:val="24"/>
        </w:rPr>
        <w:t>Proces efektywnej oceny ryzyka obejmuje:</w:t>
      </w:r>
    </w:p>
    <w:p w14:paraId="3D4D0BAC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określenie rodzaju i poziomu ryzyka, na które narażony jest Bank,</w:t>
      </w:r>
    </w:p>
    <w:p w14:paraId="4FC5A970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wyznaczanie limitów poziomu ryzyka oraz kontrola ich przestrzegania,</w:t>
      </w:r>
    </w:p>
    <w:p w14:paraId="6D02135D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analizę czynników wewnętrznych i zewnętrznych, które mogą niekorzystnie wpłynąć na poziom ryzyka,</w:t>
      </w:r>
    </w:p>
    <w:p w14:paraId="03ADC349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 xml:space="preserve">określenie możliwości Banku w ograniczaniu skutków zaistniałych zdarzeń podwyższających poziom ryzyka oraz w zapobieganiu wystąpienia takich zdarzeń </w:t>
      </w:r>
      <w:r w:rsidRPr="00BB0AFE">
        <w:rPr>
          <w:rFonts w:ascii="Times New Roman" w:hAnsi="Times New Roman" w:cs="Times New Roman"/>
          <w:sz w:val="24"/>
          <w:szCs w:val="24"/>
        </w:rPr>
        <w:br/>
        <w:t>w przyszłości,</w:t>
      </w:r>
    </w:p>
    <w:p w14:paraId="3C297B98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wskazanie, w jakim zakresie i z jaką częstotliwością Bank powinien kontrolować określone rodzaje ryzyka,</w:t>
      </w:r>
    </w:p>
    <w:p w14:paraId="1E775947" w14:textId="77777777" w:rsidR="00D17FD0" w:rsidRPr="00BB0AFE" w:rsidRDefault="00D17FD0" w:rsidP="00AD0681">
      <w:pPr>
        <w:widowControl w:val="0"/>
        <w:numPr>
          <w:ilvl w:val="0"/>
          <w:numId w:val="6"/>
        </w:numPr>
        <w:tabs>
          <w:tab w:val="clear" w:pos="1021"/>
          <w:tab w:val="left" w:pos="0"/>
          <w:tab w:val="left" w:pos="567"/>
        </w:tabs>
        <w:spacing w:after="0" w:line="276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0AFE">
        <w:rPr>
          <w:rFonts w:ascii="Times New Roman" w:hAnsi="Times New Roman" w:cs="Times New Roman"/>
          <w:sz w:val="24"/>
          <w:szCs w:val="24"/>
        </w:rPr>
        <w:t>określenie, które elementy ryzyka podlegają ocenie jakościowej, a które ocenie ilościowej.</w:t>
      </w:r>
    </w:p>
    <w:p w14:paraId="63A8B136" w14:textId="77777777" w:rsidR="00AD0681" w:rsidRPr="001B6A51" w:rsidRDefault="00AD0681" w:rsidP="00AD0681">
      <w:pPr>
        <w:pStyle w:val="Zwykytekst"/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9A35C34" w14:textId="77777777" w:rsidR="00AD0681" w:rsidRPr="00BB0AFE" w:rsidRDefault="00AD0681" w:rsidP="00AD0681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Efektywność funkcjonowania systemu kontroli wewnętrznej wymaga pełnego wykorzystania istniejących w Banku przepływów informacji.</w:t>
      </w:r>
    </w:p>
    <w:p w14:paraId="6B150CD5" w14:textId="77777777" w:rsidR="00AD0681" w:rsidRPr="00BB0AFE" w:rsidRDefault="00AD0681" w:rsidP="00AD0681">
      <w:pPr>
        <w:pStyle w:val="Zwykytekst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B0AFE">
        <w:rPr>
          <w:rFonts w:ascii="Times New Roman" w:hAnsi="Times New Roman"/>
          <w:sz w:val="24"/>
          <w:szCs w:val="24"/>
        </w:rPr>
        <w:t>Wszyscy pracownicy, którym przypisano sprawowanie funkcji kontrolnych, w tym zwłaszcza osoby zajmujące stanowiska kierownicze, zobowiązani są do bieżącego wykorzystywania informacji kontrolnych i natychmiastowego podejmowania środków zaradczych w przypadku stwierdzenia nieprawidłowości w działaniu bądź przekazywania wniosków w tych sprawach do swoich zwierzchników.</w:t>
      </w:r>
    </w:p>
    <w:p w14:paraId="219A2E55" w14:textId="77777777" w:rsidR="004A43FE" w:rsidRPr="00E22771" w:rsidRDefault="004A43FE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2F03C89" w14:textId="77777777" w:rsidR="00AD0681" w:rsidRPr="00E22771" w:rsidRDefault="004A43FE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771">
        <w:rPr>
          <w:rFonts w:ascii="Times New Roman" w:hAnsi="Times New Roman" w:cs="Times New Roman"/>
          <w:sz w:val="24"/>
          <w:szCs w:val="24"/>
        </w:rPr>
        <w:t>W ramach systemu kontroli wewnętrznej bank wyodrębnia:</w:t>
      </w:r>
    </w:p>
    <w:p w14:paraId="454F1C73" w14:textId="1DD51D9C" w:rsidR="004A43FE" w:rsidRPr="00E22771" w:rsidRDefault="004A43FE" w:rsidP="004A43FE">
      <w:pPr>
        <w:pStyle w:val="Akapitzlist"/>
        <w:numPr>
          <w:ilvl w:val="0"/>
          <w:numId w:val="12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22771">
        <w:rPr>
          <w:rFonts w:ascii="Times New Roman" w:hAnsi="Times New Roman" w:cs="Times New Roman"/>
          <w:sz w:val="24"/>
          <w:szCs w:val="24"/>
        </w:rPr>
        <w:t xml:space="preserve">funkcję kontroli </w:t>
      </w:r>
      <w:r w:rsidR="005A5A8D" w:rsidRPr="00E22771">
        <w:rPr>
          <w:rFonts w:ascii="Times New Roman" w:hAnsi="Times New Roman" w:cs="Times New Roman"/>
          <w:sz w:val="24"/>
          <w:szCs w:val="24"/>
        </w:rPr>
        <w:t>–</w:t>
      </w:r>
      <w:r w:rsidR="00C312D4" w:rsidRPr="00E22771">
        <w:rPr>
          <w:rFonts w:ascii="Times New Roman" w:hAnsi="Times New Roman" w:cs="Times New Roman"/>
          <w:sz w:val="24"/>
          <w:szCs w:val="24"/>
        </w:rPr>
        <w:t xml:space="preserve"> </w:t>
      </w:r>
      <w:r w:rsidRPr="00E22771">
        <w:rPr>
          <w:rFonts w:ascii="Times New Roman" w:hAnsi="Times New Roman" w:cs="Times New Roman"/>
          <w:sz w:val="24"/>
          <w:szCs w:val="24"/>
        </w:rPr>
        <w:t xml:space="preserve">mającą za zadanie zapewnienie przestrzegania mechanizmów kontrolnych dotyczących w szczególności zarządzanie ryzykiem w banku, która </w:t>
      </w:r>
      <w:r w:rsidRPr="00E22771">
        <w:rPr>
          <w:rFonts w:ascii="Times New Roman" w:hAnsi="Times New Roman" w:cs="Times New Roman"/>
          <w:sz w:val="24"/>
          <w:szCs w:val="24"/>
        </w:rPr>
        <w:lastRenderedPageBreak/>
        <w:t>obejmuje stanowiska, grupy ludzi lub jednostki organizacyjne odpowiedzialne za realizację zadań przypisanych tej funkcji,</w:t>
      </w:r>
    </w:p>
    <w:p w14:paraId="070348F7" w14:textId="1AE40112" w:rsidR="00C312D4" w:rsidRPr="00E22771" w:rsidRDefault="00012024" w:rsidP="00012024">
      <w:pPr>
        <w:pStyle w:val="Akapitzlist"/>
        <w:numPr>
          <w:ilvl w:val="0"/>
          <w:numId w:val="1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2771">
        <w:rPr>
          <w:rFonts w:ascii="Times New Roman" w:hAnsi="Times New Roman" w:cs="Times New Roman"/>
          <w:sz w:val="24"/>
          <w:szCs w:val="24"/>
        </w:rPr>
        <w:t>funkcja ryzyka braku zgodności (podział zadań związanych z zapewnieniem zgodności i pomiarem skutków podzielony pomiędzy Bank Zrzeszający a odpowiednie komórki organizacyjne Banku</w:t>
      </w:r>
      <w:r w:rsidR="005F72A2" w:rsidRPr="00E22771">
        <w:rPr>
          <w:rFonts w:ascii="Times New Roman" w:hAnsi="Times New Roman" w:cs="Times New Roman"/>
          <w:sz w:val="24"/>
          <w:szCs w:val="24"/>
        </w:rPr>
        <w:t xml:space="preserve"> tj. </w:t>
      </w:r>
      <w:r w:rsidR="005F72A2" w:rsidRPr="00E22771">
        <w:rPr>
          <w:rFonts w:ascii="Times New Roman" w:eastAsia="Calibri" w:hAnsi="Times New Roman" w:cs="Times New Roman"/>
          <w:sz w:val="24"/>
          <w:szCs w:val="24"/>
        </w:rPr>
        <w:t>zadania zostały przypisane Radcy Prawnemu</w:t>
      </w:r>
      <w:r w:rsidR="00E22771" w:rsidRPr="00E22771">
        <w:rPr>
          <w:rFonts w:ascii="Times New Roman" w:eastAsia="Calibri" w:hAnsi="Times New Roman" w:cs="Times New Roman"/>
          <w:sz w:val="24"/>
          <w:szCs w:val="24"/>
        </w:rPr>
        <w:t xml:space="preserve"> oraz Kierownikowi komórki ds. zgodności</w:t>
      </w:r>
      <w:r w:rsidR="005F72A2" w:rsidRPr="00E2277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A5A8D" w:rsidRPr="00E22771">
        <w:rPr>
          <w:rFonts w:ascii="Times New Roman" w:hAnsi="Times New Roman" w:cs="Times New Roman"/>
          <w:sz w:val="24"/>
          <w:szCs w:val="24"/>
        </w:rPr>
        <w:t>–</w:t>
      </w:r>
      <w:r w:rsidR="00C312D4" w:rsidRPr="00E22771">
        <w:rPr>
          <w:rFonts w:ascii="Times New Roman" w:hAnsi="Times New Roman" w:cs="Times New Roman"/>
          <w:sz w:val="24"/>
          <w:szCs w:val="24"/>
        </w:rPr>
        <w:t xml:space="preserve"> </w:t>
      </w:r>
      <w:r w:rsidRPr="00E22771">
        <w:rPr>
          <w:rFonts w:ascii="Times New Roman" w:hAnsi="Times New Roman" w:cs="Times New Roman"/>
          <w:sz w:val="24"/>
          <w:szCs w:val="24"/>
        </w:rPr>
        <w:t>mająca za zadanie identyfikację, ocenę, kontrolę i monitorowanie ryzyka braku zgodności działalności banku z przepisami prawa, regulacjami wewnętrznymi i standardami</w:t>
      </w:r>
      <w:r w:rsidR="00C312D4" w:rsidRPr="00E22771">
        <w:rPr>
          <w:rFonts w:ascii="Times New Roman" w:hAnsi="Times New Roman" w:cs="Times New Roman"/>
          <w:sz w:val="24"/>
          <w:szCs w:val="24"/>
        </w:rPr>
        <w:t xml:space="preserve"> rynkowymi oraz przedstawianie raportów w tym zakresie,</w:t>
      </w:r>
    </w:p>
    <w:p w14:paraId="2412CF66" w14:textId="77777777" w:rsidR="004A43FE" w:rsidRPr="00E22771" w:rsidRDefault="004A43FE" w:rsidP="00012024">
      <w:pPr>
        <w:numPr>
          <w:ilvl w:val="0"/>
          <w:numId w:val="12"/>
        </w:num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22771">
        <w:rPr>
          <w:rFonts w:ascii="Times New Roman" w:hAnsi="Times New Roman" w:cs="Times New Roman"/>
          <w:sz w:val="24"/>
          <w:szCs w:val="24"/>
        </w:rPr>
        <w:t xml:space="preserve"> </w:t>
      </w:r>
      <w:r w:rsidR="00C312D4" w:rsidRPr="00E22771">
        <w:rPr>
          <w:rFonts w:ascii="Times New Roman" w:hAnsi="Times New Roman" w:cs="Times New Roman"/>
          <w:sz w:val="24"/>
          <w:szCs w:val="24"/>
        </w:rPr>
        <w:t>funkcję audytu wewnętrznego – sprawowaną przez  Spółdzielnię Systemu Ochrony Zrzeszenia.</w:t>
      </w:r>
    </w:p>
    <w:p w14:paraId="00AB4138" w14:textId="77777777" w:rsidR="00C312D4" w:rsidRPr="001B6A51" w:rsidRDefault="00C312D4" w:rsidP="00C312D4">
      <w:pPr>
        <w:tabs>
          <w:tab w:val="left" w:pos="360"/>
        </w:tabs>
        <w:suppressAutoHyphens/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44F1A78F" w14:textId="77777777" w:rsidR="00D17FD0" w:rsidRPr="00957008" w:rsidRDefault="00AD0681" w:rsidP="00FD4BF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57008">
        <w:rPr>
          <w:rFonts w:ascii="Times New Roman" w:hAnsi="Times New Roman" w:cs="Times New Roman"/>
          <w:b/>
          <w:sz w:val="24"/>
          <w:szCs w:val="24"/>
        </w:rPr>
        <w:t xml:space="preserve">IV. Opis polityki </w:t>
      </w:r>
      <w:r w:rsidR="00B56963" w:rsidRPr="00957008">
        <w:rPr>
          <w:rFonts w:ascii="Times New Roman" w:hAnsi="Times New Roman" w:cs="Times New Roman"/>
          <w:b/>
          <w:sz w:val="24"/>
          <w:szCs w:val="24"/>
        </w:rPr>
        <w:t>wynagradzania pracowników, których działalność zawodowa ma istotny wpływ na profil ryzyka Banku Spółdzielczego w Iłowej</w:t>
      </w:r>
    </w:p>
    <w:p w14:paraId="05B5E4DB" w14:textId="77777777" w:rsidR="003B2A41" w:rsidRPr="00957008" w:rsidRDefault="003B2A41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57008">
        <w:rPr>
          <w:rFonts w:ascii="Times New Roman" w:hAnsi="Times New Roman" w:cs="Times New Roman"/>
          <w:sz w:val="24"/>
          <w:szCs w:val="24"/>
        </w:rPr>
        <w:t>W Banku funkcjonuje, zatwierdzona przez Radę Nadzorczą „Polityka wynagradzania pracowników, których działalność zawodowa ma istotny wpływ na profil ryzyka Banku Spółdzielczego w Iłowej”. Polityka określa zasady ustalania, wypłacania i monitorowania zmiennych składników wynagrodzeń osób zajmujących stanowiska kierownicze w Banku.</w:t>
      </w:r>
    </w:p>
    <w:p w14:paraId="2E196493" w14:textId="6AE3ABEA" w:rsidR="00690106" w:rsidRPr="00957008" w:rsidRDefault="00101EC6" w:rsidP="00101EC6">
      <w:pPr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7008">
        <w:rPr>
          <w:rFonts w:ascii="Times New Roman" w:hAnsi="Times New Roman" w:cs="Times New Roman"/>
          <w:sz w:val="24"/>
          <w:szCs w:val="24"/>
        </w:rPr>
        <w:t>Celem Polityki jest wspieranie prawidłowego i skutecznego zarządzania ryzykiem, tak by nie zachęcać do podejmowania nadmiernego ryzyka wykraczającego poza zaakceptowaną przez Radę Nadzorczą skłonność do ryz</w:t>
      </w:r>
      <w:r w:rsidR="00957008" w:rsidRPr="00957008">
        <w:rPr>
          <w:rFonts w:ascii="Times New Roman" w:hAnsi="Times New Roman" w:cs="Times New Roman"/>
          <w:sz w:val="24"/>
          <w:szCs w:val="24"/>
        </w:rPr>
        <w:t>y</w:t>
      </w:r>
      <w:r w:rsidRPr="00957008">
        <w:rPr>
          <w:rFonts w:ascii="Times New Roman" w:hAnsi="Times New Roman" w:cs="Times New Roman"/>
          <w:sz w:val="24"/>
          <w:szCs w:val="24"/>
        </w:rPr>
        <w:t xml:space="preserve">ka Banku, a także wspieranie realizacji strategii działania Banku oraz ograniczanie konfliktu interesów. </w:t>
      </w:r>
      <w:r w:rsidR="000169CD" w:rsidRPr="00957008">
        <w:rPr>
          <w:rFonts w:ascii="Times New Roman" w:hAnsi="Times New Roman" w:cs="Times New Roman"/>
          <w:sz w:val="24"/>
          <w:szCs w:val="24"/>
        </w:rPr>
        <w:t>Do stanowisk istotnych</w:t>
      </w:r>
      <w:r w:rsidR="00957008">
        <w:rPr>
          <w:rFonts w:ascii="Times New Roman" w:hAnsi="Times New Roman" w:cs="Times New Roman"/>
          <w:sz w:val="24"/>
          <w:szCs w:val="24"/>
        </w:rPr>
        <w:t>,</w:t>
      </w:r>
      <w:r w:rsidR="000169CD" w:rsidRPr="00957008">
        <w:rPr>
          <w:rFonts w:ascii="Times New Roman" w:hAnsi="Times New Roman" w:cs="Times New Roman"/>
          <w:sz w:val="24"/>
          <w:szCs w:val="24"/>
        </w:rPr>
        <w:t xml:space="preserve"> o których mowa </w:t>
      </w:r>
      <w:r w:rsidR="00E26858" w:rsidRPr="00957008">
        <w:rPr>
          <w:rFonts w:ascii="Times New Roman" w:hAnsi="Times New Roman" w:cs="Times New Roman"/>
          <w:sz w:val="24"/>
          <w:szCs w:val="24"/>
        </w:rPr>
        <w:br/>
      </w:r>
      <w:r w:rsidR="000169CD" w:rsidRPr="00957008">
        <w:rPr>
          <w:rFonts w:ascii="Times New Roman" w:hAnsi="Times New Roman" w:cs="Times New Roman"/>
          <w:sz w:val="24"/>
          <w:szCs w:val="24"/>
        </w:rPr>
        <w:t xml:space="preserve">w </w:t>
      </w:r>
      <w:r w:rsidR="00E26858" w:rsidRPr="00957008">
        <w:rPr>
          <w:rFonts w:ascii="Times New Roman" w:hAnsi="Times New Roman" w:cs="Times New Roman"/>
          <w:bCs/>
          <w:sz w:val="24"/>
          <w:szCs w:val="24"/>
        </w:rPr>
        <w:t>§ 24 Rozporządzenia Ministra Rozwoju i Finansów oraz w Rozporządzeniu 604/2014 Parlamentu Europejskiego i Rady (UE) w Banku zalicza się:</w:t>
      </w:r>
    </w:p>
    <w:p w14:paraId="1F342C07" w14:textId="77777777" w:rsidR="00E26858" w:rsidRPr="00957008" w:rsidRDefault="00E26858" w:rsidP="00E26858">
      <w:pPr>
        <w:pStyle w:val="Akapitzlist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008">
        <w:rPr>
          <w:rFonts w:ascii="Times New Roman" w:hAnsi="Times New Roman" w:cs="Times New Roman"/>
          <w:sz w:val="24"/>
          <w:szCs w:val="24"/>
        </w:rPr>
        <w:t>członków Rady Nadzorczej,</w:t>
      </w:r>
    </w:p>
    <w:p w14:paraId="2F89CD1B" w14:textId="77777777" w:rsidR="00E26858" w:rsidRPr="00957008" w:rsidRDefault="00E26858" w:rsidP="00E26858">
      <w:pPr>
        <w:pStyle w:val="Akapitzlist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008">
        <w:rPr>
          <w:rFonts w:ascii="Times New Roman" w:hAnsi="Times New Roman" w:cs="Times New Roman"/>
          <w:sz w:val="24"/>
          <w:szCs w:val="24"/>
        </w:rPr>
        <w:t>członków Zarządu,</w:t>
      </w:r>
    </w:p>
    <w:p w14:paraId="548E4000" w14:textId="77777777" w:rsidR="00E26858" w:rsidRPr="00957008" w:rsidRDefault="00E26858" w:rsidP="00E26858">
      <w:pPr>
        <w:pStyle w:val="Akapitzlist"/>
        <w:numPr>
          <w:ilvl w:val="0"/>
          <w:numId w:val="20"/>
        </w:numPr>
        <w:tabs>
          <w:tab w:val="left" w:pos="0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7008">
        <w:rPr>
          <w:rFonts w:ascii="Times New Roman" w:hAnsi="Times New Roman" w:cs="Times New Roman"/>
          <w:sz w:val="24"/>
          <w:szCs w:val="24"/>
        </w:rPr>
        <w:t>Głównego Księgowego.</w:t>
      </w:r>
    </w:p>
    <w:p w14:paraId="703A2CDE" w14:textId="77777777" w:rsidR="00E26858" w:rsidRPr="004B171F" w:rsidRDefault="00E26858" w:rsidP="004B171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B171F">
        <w:rPr>
          <w:rFonts w:ascii="Times New Roman" w:hAnsi="Times New Roman" w:cs="Times New Roman"/>
          <w:sz w:val="24"/>
          <w:szCs w:val="24"/>
        </w:rPr>
        <w:t>Z uwagi na fakt, że Bank nie udziela kredytów przekraczających 5 mln EUR oraz Bank nie posiada jednostek istotnych w rozumieniu Rozporządzenia 575/2013 PE, do stanowisk istotnych nie zalicza się innych stanowisk.</w:t>
      </w:r>
    </w:p>
    <w:p w14:paraId="421CCE1E" w14:textId="77777777" w:rsidR="004B171F" w:rsidRPr="004B171F" w:rsidRDefault="004B171F" w:rsidP="004B17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1F">
        <w:rPr>
          <w:rFonts w:ascii="Times New Roman" w:eastAsia="Calibri" w:hAnsi="Times New Roman" w:cs="Times New Roman"/>
          <w:sz w:val="24"/>
          <w:szCs w:val="24"/>
        </w:rPr>
        <w:t>Łączna kwota wypłaconej premii uznaniowej osobom zajmującym stanowiska istotne w Banku za dany rok nie może spowodować obniżenia wyniku finansowego do poziomu, który nie zapewni realnego przyrostu funduszy własnych Banku oraz budowy bezpiecznej bazy kapitałowej.</w:t>
      </w:r>
    </w:p>
    <w:p w14:paraId="661C3BEC" w14:textId="77777777" w:rsidR="004B171F" w:rsidRPr="004B171F" w:rsidRDefault="004B171F" w:rsidP="004B17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1F">
        <w:rPr>
          <w:rFonts w:ascii="Times New Roman" w:eastAsia="Calibri" w:hAnsi="Times New Roman" w:cs="Times New Roman"/>
          <w:sz w:val="24"/>
          <w:szCs w:val="24"/>
        </w:rPr>
        <w:t>Stosując zasadę proporcjonalności Bank wypłaca całość premii uznaniowej po przyznaniu, z uwzględnieniem ust.3.</w:t>
      </w:r>
    </w:p>
    <w:p w14:paraId="6433C392" w14:textId="77777777" w:rsidR="004B171F" w:rsidRPr="004B171F" w:rsidRDefault="004B171F" w:rsidP="004B171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171F">
        <w:rPr>
          <w:rFonts w:ascii="Times New Roman" w:eastAsia="Calibri" w:hAnsi="Times New Roman" w:cs="Times New Roman"/>
          <w:sz w:val="24"/>
          <w:szCs w:val="24"/>
        </w:rPr>
        <w:t>Wysokość zmiennych składników wynagradzania nie może być wyższa niż 100% wynagrodzenia zasadniczego osób zajmujących stanowiska istotne, a wynagrodzenie</w:t>
      </w:r>
      <w:r w:rsidRPr="004B171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B171F">
        <w:rPr>
          <w:rFonts w:ascii="Times New Roman" w:eastAsia="Calibri" w:hAnsi="Times New Roman" w:cs="Times New Roman"/>
          <w:sz w:val="24"/>
          <w:szCs w:val="24"/>
        </w:rPr>
        <w:t>zasadnicze powinno mieć taką wysokość, aby Bank mógł prowadzić elastyczną politykę wynagrodzeń w zakresie zmiennych składników.</w:t>
      </w:r>
    </w:p>
    <w:p w14:paraId="753FD9EF" w14:textId="77777777" w:rsidR="004B171F" w:rsidRDefault="004B171F" w:rsidP="00585AD7">
      <w:pPr>
        <w:spacing w:after="20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021EAEF5" w14:textId="212133A4" w:rsidR="00337FC0" w:rsidRPr="00BA307B" w:rsidRDefault="00585AD7" w:rsidP="00585AD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A307B">
        <w:rPr>
          <w:rFonts w:ascii="Times New Roman" w:hAnsi="Times New Roman"/>
          <w:sz w:val="24"/>
          <w:szCs w:val="24"/>
        </w:rPr>
        <w:lastRenderedPageBreak/>
        <w:t xml:space="preserve">Oceny efektów pracy członków Zarządu dokonuje Rada Nadzorcza w terminie wykonania planu </w:t>
      </w:r>
      <w:proofErr w:type="spellStart"/>
      <w:r w:rsidRPr="00BA307B">
        <w:rPr>
          <w:rFonts w:ascii="Times New Roman" w:hAnsi="Times New Roman"/>
          <w:sz w:val="24"/>
          <w:szCs w:val="24"/>
        </w:rPr>
        <w:t>ekonomiczno</w:t>
      </w:r>
      <w:proofErr w:type="spellEnd"/>
      <w:r w:rsidRPr="00BA307B">
        <w:rPr>
          <w:rFonts w:ascii="Times New Roman" w:hAnsi="Times New Roman"/>
          <w:sz w:val="24"/>
          <w:szCs w:val="24"/>
        </w:rPr>
        <w:t xml:space="preserve"> –finansowego w oparciu o kryterium ilościowe oraz jakościowe. Ocena efektów pracy, uwzględnianych przy ustalaniu wysokości premii uznaniowej obejmuje następujące wskaźniki Banku osiągane w ostatnich trzech latach (kryterium ilościowe) w odniesieniu do założonego planu </w:t>
      </w:r>
      <w:proofErr w:type="spellStart"/>
      <w:r w:rsidRPr="00BA307B">
        <w:rPr>
          <w:rFonts w:ascii="Times New Roman" w:hAnsi="Times New Roman"/>
          <w:sz w:val="24"/>
          <w:szCs w:val="24"/>
        </w:rPr>
        <w:t>ekonomiczno</w:t>
      </w:r>
      <w:proofErr w:type="spellEnd"/>
      <w:r w:rsidRPr="00BA307B">
        <w:rPr>
          <w:rFonts w:ascii="Times New Roman" w:hAnsi="Times New Roman"/>
          <w:sz w:val="24"/>
          <w:szCs w:val="24"/>
        </w:rPr>
        <w:t xml:space="preserve"> –finansowego: </w:t>
      </w:r>
      <w:r w:rsidR="00BA307B" w:rsidRPr="00BA307B">
        <w:rPr>
          <w:rFonts w:ascii="Times New Roman" w:hAnsi="Times New Roman"/>
          <w:sz w:val="24"/>
          <w:szCs w:val="24"/>
        </w:rPr>
        <w:t xml:space="preserve">wskaźnik </w:t>
      </w:r>
      <w:proofErr w:type="spellStart"/>
      <w:r w:rsidR="00BA307B" w:rsidRPr="00BA307B">
        <w:rPr>
          <w:rFonts w:ascii="Times New Roman" w:hAnsi="Times New Roman"/>
          <w:sz w:val="24"/>
          <w:szCs w:val="24"/>
        </w:rPr>
        <w:t>orezerwowania</w:t>
      </w:r>
      <w:proofErr w:type="spellEnd"/>
      <w:r w:rsidR="00BA307B" w:rsidRPr="00BA307B">
        <w:rPr>
          <w:rFonts w:ascii="Times New Roman" w:hAnsi="Times New Roman"/>
          <w:sz w:val="24"/>
          <w:szCs w:val="24"/>
        </w:rPr>
        <w:t xml:space="preserve"> portfela kredytowego</w:t>
      </w:r>
      <w:r w:rsidRPr="00BA307B">
        <w:rPr>
          <w:rFonts w:ascii="Times New Roman" w:hAnsi="Times New Roman"/>
          <w:sz w:val="24"/>
          <w:szCs w:val="24"/>
        </w:rPr>
        <w:t xml:space="preserve">, </w:t>
      </w:r>
      <w:r w:rsidR="00BA307B" w:rsidRPr="00BA307B">
        <w:rPr>
          <w:rFonts w:ascii="Times New Roman" w:hAnsi="Times New Roman"/>
          <w:sz w:val="24"/>
          <w:szCs w:val="24"/>
        </w:rPr>
        <w:t>wskaźnik płynności LCR,</w:t>
      </w:r>
      <w:r w:rsidRPr="00BA307B">
        <w:rPr>
          <w:rFonts w:ascii="Times New Roman" w:hAnsi="Times New Roman"/>
          <w:sz w:val="24"/>
          <w:szCs w:val="24"/>
        </w:rPr>
        <w:t xml:space="preserve"> </w:t>
      </w:r>
      <w:r w:rsidR="00BA307B" w:rsidRPr="00BA307B">
        <w:rPr>
          <w:rFonts w:ascii="Times New Roman" w:hAnsi="Times New Roman"/>
          <w:sz w:val="24"/>
          <w:szCs w:val="24"/>
        </w:rPr>
        <w:t>wskaźnik</w:t>
      </w:r>
      <w:r w:rsidRPr="00BA307B">
        <w:rPr>
          <w:rFonts w:ascii="Times New Roman" w:hAnsi="Times New Roman"/>
          <w:sz w:val="24"/>
          <w:szCs w:val="24"/>
        </w:rPr>
        <w:t xml:space="preserve"> portfela kredytowego, </w:t>
      </w:r>
      <w:r w:rsidR="00BA307B" w:rsidRPr="00BA307B">
        <w:rPr>
          <w:rFonts w:ascii="Times New Roman" w:hAnsi="Times New Roman"/>
          <w:sz w:val="24"/>
          <w:szCs w:val="24"/>
        </w:rPr>
        <w:t xml:space="preserve">łączny </w:t>
      </w:r>
      <w:r w:rsidRPr="00BA307B">
        <w:rPr>
          <w:rFonts w:ascii="Times New Roman" w:hAnsi="Times New Roman"/>
          <w:sz w:val="24"/>
          <w:szCs w:val="24"/>
        </w:rPr>
        <w:t>współczynnik kapitałow</w:t>
      </w:r>
      <w:r w:rsidR="00BA307B" w:rsidRPr="00BA307B">
        <w:rPr>
          <w:rFonts w:ascii="Times New Roman" w:hAnsi="Times New Roman"/>
          <w:sz w:val="24"/>
          <w:szCs w:val="24"/>
        </w:rPr>
        <w:t>y</w:t>
      </w:r>
      <w:r w:rsidRPr="00BA307B">
        <w:rPr>
          <w:rFonts w:ascii="Times New Roman" w:hAnsi="Times New Roman"/>
          <w:sz w:val="24"/>
          <w:szCs w:val="24"/>
        </w:rPr>
        <w:t>. Kryteria jakościowe oceny osób zajmujących stanowiska kierownicze przy przyznawaniu zmiennych składników wynagradzania to:</w:t>
      </w:r>
    </w:p>
    <w:p w14:paraId="6E2A9F94" w14:textId="77777777" w:rsidR="00585AD7" w:rsidRPr="00BA307B" w:rsidRDefault="00585AD7" w:rsidP="00585AD7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307B">
        <w:rPr>
          <w:rFonts w:ascii="Times New Roman" w:hAnsi="Times New Roman"/>
          <w:sz w:val="24"/>
          <w:szCs w:val="24"/>
        </w:rPr>
        <w:t>uzyskane absolutorium w okresie oceny,</w:t>
      </w:r>
    </w:p>
    <w:p w14:paraId="7438E1E8" w14:textId="77777777" w:rsidR="00585AD7" w:rsidRPr="00BA307B" w:rsidRDefault="00585AD7" w:rsidP="00585AD7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307B">
        <w:rPr>
          <w:rFonts w:ascii="Times New Roman" w:hAnsi="Times New Roman"/>
          <w:sz w:val="24"/>
          <w:szCs w:val="24"/>
        </w:rPr>
        <w:t>brak wyroków skazujących za nadużycia,</w:t>
      </w:r>
    </w:p>
    <w:p w14:paraId="453F7CD7" w14:textId="77777777" w:rsidR="00585AD7" w:rsidRPr="00BA307B" w:rsidRDefault="00585AD7" w:rsidP="00585AD7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A307B">
        <w:rPr>
          <w:rFonts w:ascii="Times New Roman" w:hAnsi="Times New Roman"/>
          <w:sz w:val="24"/>
          <w:szCs w:val="24"/>
        </w:rPr>
        <w:t xml:space="preserve">ogólna dobra ocena przez Radę Nadzorczą realizacji zadań zawartych w planie </w:t>
      </w:r>
      <w:proofErr w:type="spellStart"/>
      <w:r w:rsidRPr="00BA307B">
        <w:rPr>
          <w:rFonts w:ascii="Times New Roman" w:hAnsi="Times New Roman"/>
          <w:sz w:val="24"/>
          <w:szCs w:val="24"/>
        </w:rPr>
        <w:t>ekonomiczno</w:t>
      </w:r>
      <w:proofErr w:type="spellEnd"/>
      <w:r w:rsidRPr="00BA307B">
        <w:rPr>
          <w:rFonts w:ascii="Times New Roman" w:hAnsi="Times New Roman"/>
          <w:sz w:val="24"/>
          <w:szCs w:val="24"/>
        </w:rPr>
        <w:t xml:space="preserve"> –finansowym w okresach objętych oceną.</w:t>
      </w:r>
    </w:p>
    <w:p w14:paraId="2FA50BD0" w14:textId="77777777" w:rsidR="00585AD7" w:rsidRPr="00BA307B" w:rsidRDefault="00585AD7" w:rsidP="00585AD7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BA307B">
        <w:rPr>
          <w:rFonts w:ascii="Times New Roman" w:hAnsi="Times New Roman"/>
          <w:sz w:val="24"/>
          <w:szCs w:val="24"/>
        </w:rPr>
        <w:t>Oceny efektów pracy Głównego Księgowego dokonuje Zarząd w oparciu o zasady określone w Regulaminie wynagradzania pracowników Banku.</w:t>
      </w:r>
    </w:p>
    <w:p w14:paraId="69C2FDE1" w14:textId="77777777" w:rsidR="00EC603C" w:rsidRPr="00BA307B" w:rsidRDefault="00DD4B77" w:rsidP="00FD4BF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07B">
        <w:rPr>
          <w:rFonts w:ascii="Times New Roman" w:hAnsi="Times New Roman" w:cs="Times New Roman"/>
          <w:b/>
          <w:sz w:val="24"/>
          <w:szCs w:val="24"/>
        </w:rPr>
        <w:t>V. Informacja na temat komitetu do spraw wynagrodzeń.</w:t>
      </w:r>
    </w:p>
    <w:p w14:paraId="7892A057" w14:textId="6B601990" w:rsidR="00EC603C" w:rsidRPr="00BA307B" w:rsidRDefault="00DD4B77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307B">
        <w:rPr>
          <w:rFonts w:ascii="Times New Roman" w:hAnsi="Times New Roman" w:cs="Times New Roman"/>
          <w:sz w:val="24"/>
          <w:szCs w:val="24"/>
        </w:rPr>
        <w:t xml:space="preserve">Bank nie spełnia żadnego z warunków Banku istotnego określonego w </w:t>
      </w:r>
      <w:r w:rsidR="005A5A8D" w:rsidRPr="00BA307B">
        <w:rPr>
          <w:rFonts w:ascii="Times New Roman" w:hAnsi="Times New Roman" w:cs="Times New Roman"/>
          <w:sz w:val="24"/>
          <w:szCs w:val="24"/>
        </w:rPr>
        <w:t>art</w:t>
      </w:r>
      <w:r w:rsidRPr="00BA307B">
        <w:rPr>
          <w:rFonts w:ascii="Times New Roman" w:hAnsi="Times New Roman" w:cs="Times New Roman"/>
          <w:sz w:val="24"/>
          <w:szCs w:val="24"/>
        </w:rPr>
        <w:t xml:space="preserve">. 9 </w:t>
      </w:r>
      <w:proofErr w:type="spellStart"/>
      <w:r w:rsidRPr="00BA307B">
        <w:rPr>
          <w:rFonts w:ascii="Times New Roman" w:hAnsi="Times New Roman" w:cs="Times New Roman"/>
          <w:sz w:val="24"/>
          <w:szCs w:val="24"/>
        </w:rPr>
        <w:t>cb</w:t>
      </w:r>
      <w:proofErr w:type="spellEnd"/>
      <w:r w:rsidRPr="00BA307B">
        <w:rPr>
          <w:rFonts w:ascii="Times New Roman" w:hAnsi="Times New Roman" w:cs="Times New Roman"/>
          <w:sz w:val="24"/>
          <w:szCs w:val="24"/>
        </w:rPr>
        <w:t xml:space="preserve"> ust 1 Prawa bankowego, w związku z powyższym nie został powołany komitet do spraw wynagrodzeń.</w:t>
      </w:r>
    </w:p>
    <w:p w14:paraId="2C1E1042" w14:textId="77777777" w:rsidR="00EC603C" w:rsidRPr="001B6A51" w:rsidRDefault="00EC603C" w:rsidP="00FD4BF4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628820" w14:textId="7EEE0C01" w:rsidR="00DD4B77" w:rsidRPr="00432C7F" w:rsidRDefault="00DD4B77" w:rsidP="0069052F">
      <w:pPr>
        <w:tabs>
          <w:tab w:val="left" w:pos="284"/>
        </w:tabs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C7F">
        <w:rPr>
          <w:rFonts w:ascii="Times New Roman" w:hAnsi="Times New Roman" w:cs="Times New Roman"/>
          <w:b/>
          <w:sz w:val="24"/>
          <w:szCs w:val="24"/>
        </w:rPr>
        <w:t>VI. Informacja o spełnianiu przez członków Rady Nad</w:t>
      </w:r>
      <w:r w:rsidR="0069052F" w:rsidRPr="00432C7F">
        <w:rPr>
          <w:rFonts w:ascii="Times New Roman" w:hAnsi="Times New Roman" w:cs="Times New Roman"/>
          <w:b/>
          <w:sz w:val="24"/>
          <w:szCs w:val="24"/>
        </w:rPr>
        <w:t xml:space="preserve">zorczej i Zarządu Banku Spółdzielczego w Iłowej wymogów określonych w </w:t>
      </w:r>
      <w:r w:rsidR="005A5A8D" w:rsidRPr="00432C7F">
        <w:rPr>
          <w:rFonts w:ascii="Times New Roman" w:hAnsi="Times New Roman" w:cs="Times New Roman"/>
          <w:b/>
          <w:sz w:val="24"/>
          <w:szCs w:val="24"/>
        </w:rPr>
        <w:t>art</w:t>
      </w:r>
      <w:r w:rsidR="0069052F" w:rsidRPr="00432C7F">
        <w:rPr>
          <w:rFonts w:ascii="Times New Roman" w:hAnsi="Times New Roman" w:cs="Times New Roman"/>
          <w:b/>
          <w:sz w:val="24"/>
          <w:szCs w:val="24"/>
        </w:rPr>
        <w:t>. 22aa ustawy Prawo bankowe.</w:t>
      </w:r>
    </w:p>
    <w:p w14:paraId="466F95F0" w14:textId="53D54D62" w:rsidR="002A715A" w:rsidRDefault="00CA7F2D" w:rsidP="00FC340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B6726">
        <w:rPr>
          <w:rFonts w:ascii="Times New Roman" w:hAnsi="Times New Roman" w:cs="Times New Roman"/>
          <w:sz w:val="24"/>
          <w:szCs w:val="24"/>
        </w:rPr>
        <w:t xml:space="preserve">Członkowie Zarządu i Rady Nadzorczej Banku </w:t>
      </w:r>
      <w:r w:rsidR="002B6726">
        <w:rPr>
          <w:rFonts w:ascii="Times New Roman" w:hAnsi="Times New Roman" w:cs="Times New Roman"/>
          <w:sz w:val="24"/>
          <w:szCs w:val="24"/>
        </w:rPr>
        <w:t>oraz kandydaci do pełnienia funkcji w tych organach,</w:t>
      </w:r>
      <w:r w:rsidRPr="002B6726">
        <w:rPr>
          <w:rFonts w:ascii="Times New Roman" w:hAnsi="Times New Roman" w:cs="Times New Roman"/>
          <w:sz w:val="24"/>
          <w:szCs w:val="24"/>
        </w:rPr>
        <w:t xml:space="preserve"> </w:t>
      </w:r>
      <w:r w:rsidR="002B6726" w:rsidRPr="002B6726">
        <w:rPr>
          <w:rFonts w:ascii="Times New Roman" w:hAnsi="Times New Roman" w:cs="Times New Roman"/>
          <w:sz w:val="24"/>
          <w:szCs w:val="24"/>
        </w:rPr>
        <w:t>są objęci oceną</w:t>
      </w:r>
      <w:r w:rsidR="002B6726">
        <w:rPr>
          <w:rFonts w:ascii="Times New Roman" w:hAnsi="Times New Roman" w:cs="Times New Roman"/>
          <w:sz w:val="24"/>
          <w:szCs w:val="24"/>
        </w:rPr>
        <w:t xml:space="preserve"> </w:t>
      </w:r>
      <w:r w:rsidR="002A715A">
        <w:rPr>
          <w:rFonts w:ascii="Times New Roman" w:hAnsi="Times New Roman" w:cs="Times New Roman"/>
          <w:sz w:val="24"/>
          <w:szCs w:val="24"/>
        </w:rPr>
        <w:t xml:space="preserve"> w celu sprawdzenia czy indywidualne kwalifikacje, umiejętności i doświadczenie poszczególnych członków organów dopełniają się w taki sposób, że zapewniony jest odpowiedni poziom kolegialnego zarzadzania Bankiem.</w:t>
      </w:r>
    </w:p>
    <w:p w14:paraId="64F0C347" w14:textId="0A53A863" w:rsidR="00FC340B" w:rsidRPr="002A715A" w:rsidRDefault="00FC340B" w:rsidP="00FC340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15A">
        <w:rPr>
          <w:rFonts w:ascii="Times New Roman" w:hAnsi="Times New Roman" w:cs="Times New Roman"/>
          <w:sz w:val="24"/>
          <w:szCs w:val="24"/>
        </w:rPr>
        <w:t xml:space="preserve">Oceny indywidualne kandydatów/członków Zarządu oraz ocena kolegialna Zarządu są dokonywane przez Radę Nadzorczą. O wynikach oceny indywidualnej i kolegialnej Zarządu </w:t>
      </w:r>
      <w:r w:rsidR="002A715A" w:rsidRPr="002A715A">
        <w:rPr>
          <w:rFonts w:ascii="Times New Roman" w:hAnsi="Times New Roman" w:cs="Times New Roman"/>
          <w:sz w:val="24"/>
          <w:szCs w:val="24"/>
        </w:rPr>
        <w:t xml:space="preserve"> Przewodniczący Rady Nadzorczej zawiadamia członków Zarządu. Rada Nadzorcza  przyjmuje uchwałą wyniki oceny.</w:t>
      </w:r>
    </w:p>
    <w:p w14:paraId="03807947" w14:textId="77777777" w:rsidR="00FC340B" w:rsidRPr="002A715A" w:rsidRDefault="00FC340B" w:rsidP="00FC340B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715A">
        <w:rPr>
          <w:rFonts w:ascii="Times New Roman" w:hAnsi="Times New Roman" w:cs="Times New Roman"/>
          <w:sz w:val="24"/>
          <w:szCs w:val="24"/>
        </w:rPr>
        <w:t>Ocenie odpowiedniości podlega każdy z kandydatów/członków Rady Nadzorczej oraz sama Rada Nadzorcza, jako organ kolegialny. Każdy z kandydatów/członków Rady Nadzorczej jest zawiadamiany o wyniku oceny niezwłocznie po jej wystawieniu na Zebraniu Przedstawicieli.</w:t>
      </w:r>
    </w:p>
    <w:p w14:paraId="5018A611" w14:textId="796B7A38" w:rsidR="002C34B7" w:rsidRPr="007C4515" w:rsidRDefault="00FC340B" w:rsidP="007C4515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1689A">
        <w:rPr>
          <w:rFonts w:ascii="Times New Roman" w:hAnsi="Times New Roman" w:cs="Times New Roman"/>
          <w:sz w:val="24"/>
          <w:szCs w:val="24"/>
        </w:rPr>
        <w:t>W 20</w:t>
      </w:r>
      <w:r w:rsidR="0081689A" w:rsidRPr="0081689A">
        <w:rPr>
          <w:rFonts w:ascii="Times New Roman" w:hAnsi="Times New Roman" w:cs="Times New Roman"/>
          <w:sz w:val="24"/>
          <w:szCs w:val="24"/>
        </w:rPr>
        <w:t>20</w:t>
      </w:r>
      <w:r w:rsidRPr="0081689A">
        <w:rPr>
          <w:rFonts w:ascii="Times New Roman" w:hAnsi="Times New Roman" w:cs="Times New Roman"/>
          <w:sz w:val="24"/>
          <w:szCs w:val="24"/>
        </w:rPr>
        <w:t xml:space="preserve"> roku w Banku Spółdzielczym w Iłowej</w:t>
      </w:r>
      <w:r w:rsidR="007C4515">
        <w:rPr>
          <w:rFonts w:ascii="Times New Roman" w:hAnsi="Times New Roman" w:cs="Times New Roman"/>
          <w:sz w:val="24"/>
          <w:szCs w:val="24"/>
        </w:rPr>
        <w:t xml:space="preserve"> </w:t>
      </w:r>
      <w:r w:rsidR="002C34B7" w:rsidRPr="007C4515">
        <w:rPr>
          <w:rFonts w:ascii="Times New Roman" w:hAnsi="Times New Roman" w:cs="Times New Roman"/>
          <w:sz w:val="24"/>
          <w:szCs w:val="24"/>
        </w:rPr>
        <w:t>Członkowie Zarządu podlegali ocenie</w:t>
      </w:r>
      <w:r w:rsidR="007C4515" w:rsidRPr="007C4515">
        <w:rPr>
          <w:rFonts w:ascii="Times New Roman" w:hAnsi="Times New Roman" w:cs="Times New Roman"/>
          <w:sz w:val="24"/>
          <w:szCs w:val="24"/>
        </w:rPr>
        <w:t xml:space="preserve"> indywidualnej </w:t>
      </w:r>
      <w:r w:rsidR="002C34B7" w:rsidRPr="007C4515">
        <w:rPr>
          <w:rFonts w:ascii="Times New Roman" w:hAnsi="Times New Roman" w:cs="Times New Roman"/>
          <w:sz w:val="24"/>
          <w:szCs w:val="24"/>
        </w:rPr>
        <w:t xml:space="preserve"> i w jej wyniku stwierdzono, że </w:t>
      </w:r>
      <w:r w:rsidR="0081689A" w:rsidRPr="007C4515">
        <w:rPr>
          <w:rFonts w:ascii="Times New Roman" w:hAnsi="Times New Roman" w:cs="Times New Roman"/>
          <w:sz w:val="24"/>
          <w:szCs w:val="24"/>
        </w:rPr>
        <w:t xml:space="preserve">spełniają wymogi odpowiedniości </w:t>
      </w:r>
      <w:r w:rsidR="002C34B7" w:rsidRPr="007C4515">
        <w:rPr>
          <w:rFonts w:ascii="Times New Roman" w:hAnsi="Times New Roman" w:cs="Times New Roman"/>
          <w:sz w:val="24"/>
          <w:szCs w:val="24"/>
        </w:rPr>
        <w:t>odpowiednie do zarządzania Bankiem wynikające z</w:t>
      </w:r>
      <w:r w:rsidR="007C4515" w:rsidRPr="007C4515">
        <w:rPr>
          <w:rFonts w:ascii="Times New Roman" w:hAnsi="Times New Roman" w:cs="Times New Roman"/>
          <w:sz w:val="24"/>
          <w:szCs w:val="24"/>
        </w:rPr>
        <w:t xml:space="preserve"> poniższych kryteriów oceny</w:t>
      </w:r>
      <w:r w:rsidR="002C34B7" w:rsidRPr="007C4515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A7B822" w14:textId="2CA5C84A" w:rsidR="002C34B7" w:rsidRPr="007C4515" w:rsidRDefault="007C4515" w:rsidP="007C451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Poziom wiedzy, umiejętności i doświadczenia zawodowego </w:t>
      </w:r>
      <w:r w:rsidR="002C34B7" w:rsidRPr="007C4515">
        <w:rPr>
          <w:rFonts w:ascii="Times New Roman" w:hAnsi="Times New Roman" w:cs="Times New Roman"/>
          <w:sz w:val="24"/>
          <w:szCs w:val="24"/>
        </w:rPr>
        <w:t xml:space="preserve"> </w:t>
      </w:r>
      <w:r w:rsidRPr="007C45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wykształcenie, życiorys zawodowy, kompetencje</w:t>
      </w:r>
      <w:r w:rsidR="002C34B7" w:rsidRPr="007C4515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294FE804" w14:textId="49069424" w:rsidR="002C34B7" w:rsidRPr="007C4515" w:rsidRDefault="007C4515" w:rsidP="007C451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>Rękojmia należytego wykonywania funkcji (rękojmia, niekaralność</w:t>
      </w:r>
      <w:r>
        <w:rPr>
          <w:rFonts w:ascii="Times New Roman" w:hAnsi="Times New Roman" w:cs="Times New Roman"/>
          <w:sz w:val="24"/>
          <w:szCs w:val="24"/>
        </w:rPr>
        <w:t>, sytuacja finansowa i konflikt interesów, niezależność osądu</w:t>
      </w:r>
      <w:r w:rsidRPr="007C4515">
        <w:rPr>
          <w:rFonts w:ascii="Times New Roman" w:hAnsi="Times New Roman" w:cs="Times New Roman"/>
          <w:sz w:val="24"/>
          <w:szCs w:val="24"/>
        </w:rPr>
        <w:t>),</w:t>
      </w:r>
    </w:p>
    <w:p w14:paraId="798497FF" w14:textId="0D808341" w:rsidR="002C34B7" w:rsidRPr="007C4515" w:rsidRDefault="007C4515" w:rsidP="007C451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lastRenderedPageBreak/>
        <w:t>Poświęcanie czasu na wykonywanie obowiązków w Banku (gotowość poświęcania wystarczającej ilości czasu)</w:t>
      </w:r>
    </w:p>
    <w:p w14:paraId="6EC81AD4" w14:textId="34821F39" w:rsidR="002C34B7" w:rsidRPr="007C4515" w:rsidRDefault="007C4515" w:rsidP="007C451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>Niezależność (spełnianie wymogów niezależności wynikających z ustawy o biegłych rewidentach),</w:t>
      </w:r>
    </w:p>
    <w:p w14:paraId="7EF48D9E" w14:textId="28C2F148" w:rsidR="007C4515" w:rsidRPr="007C4515" w:rsidRDefault="007C4515" w:rsidP="007C4515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>Powiązania z Bankiem Spółdzielczym (spełnianie wymogów specyficznych dla Banków spółdzielczych wynikających z Prawa spółdzielczego ).</w:t>
      </w:r>
    </w:p>
    <w:p w14:paraId="0DBA2756" w14:textId="72930AE8" w:rsidR="002C34B7" w:rsidRPr="007C4515" w:rsidRDefault="007C4515" w:rsidP="007C4515">
      <w:pPr>
        <w:pStyle w:val="Akapitzlist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W roku 2019 </w:t>
      </w:r>
      <w:r w:rsidR="002C34B7" w:rsidRPr="007C4515">
        <w:rPr>
          <w:rFonts w:ascii="Times New Roman" w:hAnsi="Times New Roman" w:cs="Times New Roman"/>
          <w:sz w:val="24"/>
          <w:szCs w:val="24"/>
        </w:rPr>
        <w:t>Członkowie Rad</w:t>
      </w:r>
      <w:r w:rsidR="001244C3" w:rsidRPr="007C4515">
        <w:rPr>
          <w:rFonts w:ascii="Times New Roman" w:hAnsi="Times New Roman" w:cs="Times New Roman"/>
          <w:sz w:val="24"/>
          <w:szCs w:val="24"/>
        </w:rPr>
        <w:t>y</w:t>
      </w:r>
      <w:r w:rsidR="002C34B7" w:rsidRPr="007C4515">
        <w:rPr>
          <w:rFonts w:ascii="Times New Roman" w:hAnsi="Times New Roman" w:cs="Times New Roman"/>
          <w:sz w:val="24"/>
          <w:szCs w:val="24"/>
        </w:rPr>
        <w:t xml:space="preserve"> Nadzorczej podlegali ocenie, w jej wyniku stwierdzono że posiadają kompetencje do należytego wykonywania obowiązków nadzorowania Banku wynikające z: </w:t>
      </w:r>
    </w:p>
    <w:p w14:paraId="3983CC82" w14:textId="77777777" w:rsidR="002C34B7" w:rsidRPr="007C4515" w:rsidRDefault="002C34B7" w:rsidP="00EB74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wiedzy (posiadanej z racji zdobytego wykształcenia, odbytych szkoleń, uzyskanych tytułów zawodowych oraz nabytej w inny sposób w toku kariery zawodowej), </w:t>
      </w:r>
    </w:p>
    <w:p w14:paraId="10496EE5" w14:textId="77777777" w:rsidR="002C34B7" w:rsidRPr="007C4515" w:rsidRDefault="002C34B7" w:rsidP="00EB74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doświadczenia (nabytego w toku sprawowania określonych funkcji lub zajmowania określonych stanowisk), </w:t>
      </w:r>
    </w:p>
    <w:p w14:paraId="6C300E98" w14:textId="77777777" w:rsidR="002C34B7" w:rsidRPr="007C4515" w:rsidRDefault="002C34B7" w:rsidP="00EB74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umiejętności niezbędnych do wykonywania powierzonej funkcji, </w:t>
      </w:r>
    </w:p>
    <w:p w14:paraId="0AACE165" w14:textId="77777777" w:rsidR="002C34B7" w:rsidRPr="007C4515" w:rsidRDefault="002C34B7" w:rsidP="00EB74D8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odpowiedniej reputacji. </w:t>
      </w:r>
    </w:p>
    <w:p w14:paraId="254FA30E" w14:textId="5A0A4DD6" w:rsidR="002C34B7" w:rsidRPr="007C4515" w:rsidRDefault="002C34B7" w:rsidP="00EB74D8">
      <w:pPr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 xml:space="preserve">Członkowie Zarządu i Rady Nadzorczej spełniają również warunki </w:t>
      </w:r>
      <w:r w:rsidR="005A5A8D" w:rsidRPr="007C4515">
        <w:rPr>
          <w:rFonts w:ascii="Times New Roman" w:hAnsi="Times New Roman" w:cs="Times New Roman"/>
          <w:sz w:val="24"/>
          <w:szCs w:val="24"/>
        </w:rPr>
        <w:t>art</w:t>
      </w:r>
      <w:r w:rsidRPr="007C4515">
        <w:rPr>
          <w:rFonts w:ascii="Times New Roman" w:hAnsi="Times New Roman" w:cs="Times New Roman"/>
          <w:sz w:val="24"/>
          <w:szCs w:val="24"/>
        </w:rPr>
        <w:t>. 22aa ust. 3 ustawy –Prawo bankowe, tzn. nie pełnią funkcji członka zarządu lub rady nadzorczej poza bankiem.</w:t>
      </w:r>
    </w:p>
    <w:p w14:paraId="575A8974" w14:textId="78988E01" w:rsidR="002451FC" w:rsidRDefault="00886F14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C4515">
        <w:rPr>
          <w:rFonts w:ascii="Times New Roman" w:hAnsi="Times New Roman" w:cs="Times New Roman"/>
          <w:sz w:val="24"/>
          <w:szCs w:val="24"/>
        </w:rPr>
        <w:t>Bank dąży do tego, aby w organie zarządzającym zasiadały osoby posiadające odpowiednią wiedzę i doświadczenie zawodowe, a także cechy charakteru zapewniające prawidłowe wykonywanie powierzonych im obowiązków.</w:t>
      </w:r>
    </w:p>
    <w:p w14:paraId="0F8CC2B7" w14:textId="77777777" w:rsidR="00EB74D8" w:rsidRPr="00EB74D8" w:rsidRDefault="00EB74D8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7581E80" w14:textId="77777777" w:rsidR="00272011" w:rsidRPr="00EB74D8" w:rsidRDefault="00272011" w:rsidP="00FD4BF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8">
        <w:rPr>
          <w:rFonts w:ascii="Times New Roman" w:hAnsi="Times New Roman" w:cs="Times New Roman"/>
          <w:b/>
          <w:sz w:val="24"/>
          <w:szCs w:val="24"/>
        </w:rPr>
        <w:t>Zasady wyboru członków Zarządu i Rady Nadzorczej:</w:t>
      </w:r>
    </w:p>
    <w:p w14:paraId="1A96FBE7" w14:textId="7D47628C" w:rsidR="00272011" w:rsidRPr="00EB74D8" w:rsidRDefault="00272011" w:rsidP="00287ED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4D8">
        <w:rPr>
          <w:rFonts w:ascii="Times New Roman" w:hAnsi="Times New Roman" w:cs="Times New Roman"/>
          <w:sz w:val="24"/>
          <w:szCs w:val="24"/>
        </w:rPr>
        <w:t xml:space="preserve">Członków Rady Nadzorczej wybiera Zebranie Przedstawicieli na podstawie </w:t>
      </w:r>
      <w:r w:rsidRPr="00EB74D8">
        <w:rPr>
          <w:rFonts w:ascii="Times New Roman" w:hAnsi="Times New Roman" w:cs="Times New Roman"/>
          <w:sz w:val="24"/>
          <w:szCs w:val="24"/>
        </w:rPr>
        <w:br/>
        <w:t xml:space="preserve">przeprowadzonej oceny odpowiedniości, dokonanej przez Komisję </w:t>
      </w:r>
      <w:r w:rsidR="00EB74D8" w:rsidRPr="00EB74D8">
        <w:rPr>
          <w:rFonts w:ascii="Times New Roman" w:hAnsi="Times New Roman" w:cs="Times New Roman"/>
          <w:sz w:val="24"/>
          <w:szCs w:val="24"/>
        </w:rPr>
        <w:t xml:space="preserve">ds. </w:t>
      </w:r>
      <w:r w:rsidRPr="00EB74D8">
        <w:rPr>
          <w:rFonts w:ascii="Times New Roman" w:hAnsi="Times New Roman" w:cs="Times New Roman"/>
          <w:sz w:val="24"/>
          <w:szCs w:val="24"/>
        </w:rPr>
        <w:t xml:space="preserve">odpowiedniości, </w:t>
      </w:r>
      <w:r w:rsidRPr="00EB74D8">
        <w:rPr>
          <w:rFonts w:ascii="Times New Roman" w:hAnsi="Times New Roman" w:cs="Times New Roman"/>
          <w:sz w:val="24"/>
          <w:szCs w:val="24"/>
        </w:rPr>
        <w:br/>
        <w:t xml:space="preserve">której członkowie powołani są spośród delegatów na </w:t>
      </w:r>
      <w:r w:rsidR="00287ED7" w:rsidRPr="00EB74D8">
        <w:rPr>
          <w:rFonts w:ascii="Times New Roman" w:hAnsi="Times New Roman" w:cs="Times New Roman"/>
          <w:sz w:val="24"/>
          <w:szCs w:val="24"/>
        </w:rPr>
        <w:t>Zebranie Przedstawicieli.</w:t>
      </w:r>
    </w:p>
    <w:p w14:paraId="2D4A99DF" w14:textId="77777777" w:rsidR="00287ED7" w:rsidRPr="00EB74D8" w:rsidRDefault="00287ED7" w:rsidP="00287ED7">
      <w:pPr>
        <w:pStyle w:val="Akapitzlist"/>
        <w:numPr>
          <w:ilvl w:val="0"/>
          <w:numId w:val="2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4D8">
        <w:rPr>
          <w:rFonts w:ascii="Times New Roman" w:hAnsi="Times New Roman" w:cs="Times New Roman"/>
          <w:sz w:val="24"/>
          <w:szCs w:val="24"/>
        </w:rPr>
        <w:t>Członków Zarządu ocenia i wybiera Rada Nadzorcza.</w:t>
      </w:r>
    </w:p>
    <w:p w14:paraId="21FDC865" w14:textId="77777777" w:rsidR="00287ED7" w:rsidRPr="001B6A51" w:rsidRDefault="00287ED7" w:rsidP="00287ED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FFD9001" w14:textId="77777777" w:rsidR="00287ED7" w:rsidRPr="00EB74D8" w:rsidRDefault="00287ED7" w:rsidP="00287ED7">
      <w:pPr>
        <w:tabs>
          <w:tab w:val="left" w:pos="426"/>
          <w:tab w:val="left" w:pos="56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8">
        <w:rPr>
          <w:rFonts w:ascii="Times New Roman" w:hAnsi="Times New Roman" w:cs="Times New Roman"/>
          <w:b/>
          <w:sz w:val="24"/>
          <w:szCs w:val="24"/>
        </w:rPr>
        <w:t>Oświadczenie Rady Nadzorczej</w:t>
      </w:r>
    </w:p>
    <w:p w14:paraId="1315DAB4" w14:textId="3F4DD788" w:rsidR="00287ED7" w:rsidRPr="00EB74D8" w:rsidRDefault="00287ED7" w:rsidP="00FD4BF4">
      <w:p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74D8">
        <w:rPr>
          <w:rFonts w:ascii="Times New Roman" w:hAnsi="Times New Roman" w:cs="Times New Roman"/>
          <w:sz w:val="24"/>
          <w:szCs w:val="24"/>
        </w:rPr>
        <w:t xml:space="preserve">Rada Nadzorcza Banku oświadcza, że wszyscy członkowie Rady Nadzorczej i Zarządu Banku Spółdzielczego w Iłowej spełniają wymogi określone w </w:t>
      </w:r>
      <w:r w:rsidR="005A5A8D" w:rsidRPr="00EB74D8">
        <w:rPr>
          <w:rFonts w:ascii="Times New Roman" w:hAnsi="Times New Roman" w:cs="Times New Roman"/>
          <w:sz w:val="24"/>
          <w:szCs w:val="24"/>
        </w:rPr>
        <w:t>art</w:t>
      </w:r>
      <w:r w:rsidRPr="00EB74D8">
        <w:rPr>
          <w:rFonts w:ascii="Times New Roman" w:hAnsi="Times New Roman" w:cs="Times New Roman"/>
          <w:sz w:val="24"/>
          <w:szCs w:val="24"/>
        </w:rPr>
        <w:t>. 22aa ustawy Prawo bankowe.</w:t>
      </w:r>
    </w:p>
    <w:p w14:paraId="4873D6A0" w14:textId="40B8EE0F" w:rsidR="002C34B7" w:rsidRPr="00EB74D8" w:rsidRDefault="002451FC" w:rsidP="00FD4BF4">
      <w:pPr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4D8">
        <w:rPr>
          <w:rFonts w:ascii="Times New Roman" w:hAnsi="Times New Roman" w:cs="Times New Roman"/>
          <w:b/>
          <w:sz w:val="24"/>
          <w:szCs w:val="24"/>
        </w:rPr>
        <w:t xml:space="preserve">VII.  Informacje wynikające z </w:t>
      </w:r>
      <w:r w:rsidR="005A5A8D" w:rsidRPr="00EB74D8">
        <w:rPr>
          <w:rFonts w:ascii="Times New Roman" w:hAnsi="Times New Roman" w:cs="Times New Roman"/>
          <w:b/>
          <w:sz w:val="24"/>
          <w:szCs w:val="24"/>
        </w:rPr>
        <w:t>art</w:t>
      </w:r>
      <w:r w:rsidRPr="00EB74D8">
        <w:rPr>
          <w:rFonts w:ascii="Times New Roman" w:hAnsi="Times New Roman" w:cs="Times New Roman"/>
          <w:b/>
          <w:sz w:val="24"/>
          <w:szCs w:val="24"/>
        </w:rPr>
        <w:t>. 111b ustawy Prawo bankowe:</w:t>
      </w:r>
    </w:p>
    <w:p w14:paraId="1EFD8A8C" w14:textId="3B7C4347" w:rsidR="002451FC" w:rsidRPr="00EB74D8" w:rsidRDefault="002451FC" w:rsidP="002451FC">
      <w:pPr>
        <w:jc w:val="both"/>
        <w:rPr>
          <w:rFonts w:ascii="Times New Roman" w:hAnsi="Times New Roman" w:cs="Times New Roman"/>
          <w:sz w:val="24"/>
          <w:szCs w:val="24"/>
        </w:rPr>
      </w:pPr>
      <w:r w:rsidRPr="00EB74D8">
        <w:rPr>
          <w:rFonts w:ascii="Times New Roman" w:hAnsi="Times New Roman" w:cs="Times New Roman"/>
          <w:sz w:val="24"/>
          <w:szCs w:val="24"/>
        </w:rPr>
        <w:t xml:space="preserve">Bank Spółdzielczy w Iłowej niniejszym informuje, działając zgodnie z </w:t>
      </w:r>
      <w:r w:rsidR="005A5A8D" w:rsidRPr="00EB74D8">
        <w:rPr>
          <w:rFonts w:ascii="Times New Roman" w:hAnsi="Times New Roman" w:cs="Times New Roman"/>
          <w:sz w:val="24"/>
          <w:szCs w:val="24"/>
        </w:rPr>
        <w:t>art</w:t>
      </w:r>
      <w:r w:rsidRPr="00EB74D8">
        <w:rPr>
          <w:rFonts w:ascii="Times New Roman" w:hAnsi="Times New Roman" w:cs="Times New Roman"/>
          <w:sz w:val="24"/>
          <w:szCs w:val="24"/>
        </w:rPr>
        <w:t xml:space="preserve">. 111b Ustawy Prawo Bankowe, o przedsiębiorcach lub przedsiębiorcach zagranicznych mających dostęp do tajemnicy bankowej, którym Bank zgodnie z </w:t>
      </w:r>
      <w:r w:rsidR="005A5A8D" w:rsidRPr="00EB74D8">
        <w:rPr>
          <w:rFonts w:ascii="Times New Roman" w:hAnsi="Times New Roman" w:cs="Times New Roman"/>
          <w:sz w:val="24"/>
          <w:szCs w:val="24"/>
        </w:rPr>
        <w:t>art</w:t>
      </w:r>
      <w:r w:rsidRPr="00EB74D8">
        <w:rPr>
          <w:rFonts w:ascii="Times New Roman" w:hAnsi="Times New Roman" w:cs="Times New Roman"/>
          <w:sz w:val="24"/>
          <w:szCs w:val="24"/>
        </w:rPr>
        <w:t>. 6a ust 1 i 7 Ustawy Prawo Bankowe powierzył wykonywanie określonych czynności: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2232"/>
        <w:gridCol w:w="3431"/>
        <w:gridCol w:w="1412"/>
        <w:gridCol w:w="1416"/>
      </w:tblGrid>
      <w:tr w:rsidR="00EB74D8" w:rsidRPr="00EB74D8" w14:paraId="320B77F6" w14:textId="77777777" w:rsidTr="005A5A8D">
        <w:trPr>
          <w:trHeight w:val="591"/>
        </w:trPr>
        <w:tc>
          <w:tcPr>
            <w:tcW w:w="571" w:type="dxa"/>
            <w:vAlign w:val="center"/>
          </w:tcPr>
          <w:p w14:paraId="273C0981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32" w:type="dxa"/>
            <w:vAlign w:val="center"/>
          </w:tcPr>
          <w:p w14:paraId="454550A3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b/>
                <w:sz w:val="24"/>
                <w:szCs w:val="24"/>
              </w:rPr>
              <w:t>Nazwa podmiotu</w:t>
            </w:r>
          </w:p>
        </w:tc>
        <w:tc>
          <w:tcPr>
            <w:tcW w:w="3431" w:type="dxa"/>
            <w:vAlign w:val="center"/>
          </w:tcPr>
          <w:p w14:paraId="0F334E97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podmiotu</w:t>
            </w:r>
          </w:p>
        </w:tc>
        <w:tc>
          <w:tcPr>
            <w:tcW w:w="1412" w:type="dxa"/>
            <w:vAlign w:val="center"/>
          </w:tcPr>
          <w:p w14:paraId="3E5AB45F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b/>
                <w:sz w:val="24"/>
                <w:szCs w:val="24"/>
              </w:rPr>
              <w:t>REGON</w:t>
            </w:r>
          </w:p>
        </w:tc>
        <w:tc>
          <w:tcPr>
            <w:tcW w:w="1416" w:type="dxa"/>
            <w:vAlign w:val="center"/>
          </w:tcPr>
          <w:p w14:paraId="38C67F39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b/>
                <w:sz w:val="24"/>
                <w:szCs w:val="24"/>
              </w:rPr>
              <w:t>KRS</w:t>
            </w:r>
          </w:p>
        </w:tc>
      </w:tr>
      <w:tr w:rsidR="00EB74D8" w:rsidRPr="00EB74D8" w14:paraId="6B4134FE" w14:textId="77777777" w:rsidTr="005A5A8D">
        <w:trPr>
          <w:trHeight w:val="841"/>
        </w:trPr>
        <w:tc>
          <w:tcPr>
            <w:tcW w:w="571" w:type="dxa"/>
            <w:vAlign w:val="center"/>
          </w:tcPr>
          <w:p w14:paraId="7D05F26D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32" w:type="dxa"/>
            <w:vAlign w:val="center"/>
          </w:tcPr>
          <w:p w14:paraId="68324C89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sz w:val="24"/>
                <w:szCs w:val="24"/>
              </w:rPr>
              <w:t>Asseco Poland SA</w:t>
            </w:r>
          </w:p>
        </w:tc>
        <w:tc>
          <w:tcPr>
            <w:tcW w:w="3431" w:type="dxa"/>
            <w:vAlign w:val="center"/>
          </w:tcPr>
          <w:p w14:paraId="6CAF173B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sz w:val="24"/>
                <w:szCs w:val="24"/>
              </w:rPr>
              <w:t>ul. Olchowa 14, 35-322 Rzeszów</w:t>
            </w:r>
          </w:p>
        </w:tc>
        <w:tc>
          <w:tcPr>
            <w:tcW w:w="1412" w:type="dxa"/>
            <w:vAlign w:val="center"/>
          </w:tcPr>
          <w:p w14:paraId="141B2F1E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sz w:val="24"/>
                <w:szCs w:val="24"/>
              </w:rPr>
              <w:t>010334578</w:t>
            </w:r>
          </w:p>
        </w:tc>
        <w:tc>
          <w:tcPr>
            <w:tcW w:w="1416" w:type="dxa"/>
            <w:vAlign w:val="center"/>
          </w:tcPr>
          <w:p w14:paraId="71EB4EF6" w14:textId="77777777" w:rsidR="002451FC" w:rsidRPr="00EB74D8" w:rsidRDefault="002451FC" w:rsidP="00ED2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74D8">
              <w:rPr>
                <w:rFonts w:ascii="Times New Roman" w:hAnsi="Times New Roman" w:cs="Times New Roman"/>
                <w:sz w:val="24"/>
                <w:szCs w:val="24"/>
              </w:rPr>
              <w:t>0000033391</w:t>
            </w:r>
          </w:p>
        </w:tc>
      </w:tr>
    </w:tbl>
    <w:p w14:paraId="3F9AD767" w14:textId="77777777" w:rsidR="002C34B7" w:rsidRPr="001B6A51" w:rsidRDefault="002C34B7" w:rsidP="00287ED7">
      <w:pPr>
        <w:tabs>
          <w:tab w:val="left" w:pos="28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C34B7" w:rsidRPr="001B6A51" w:rsidSect="00831F83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1699" w14:textId="77777777" w:rsidR="00C220FD" w:rsidRDefault="00C220FD" w:rsidP="00286371">
      <w:pPr>
        <w:spacing w:after="0" w:line="240" w:lineRule="auto"/>
      </w:pPr>
      <w:r>
        <w:separator/>
      </w:r>
    </w:p>
  </w:endnote>
  <w:endnote w:type="continuationSeparator" w:id="0">
    <w:p w14:paraId="3C5D866A" w14:textId="77777777" w:rsidR="00C220FD" w:rsidRDefault="00C220FD" w:rsidP="00286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542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F365FA1" w14:textId="77777777" w:rsidR="00831F83" w:rsidRPr="00831F83" w:rsidRDefault="00831F83">
        <w:pPr>
          <w:pStyle w:val="Stopk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31F8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31F8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31F8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33DF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31F8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3FF6F77" w14:textId="77777777" w:rsidR="00286371" w:rsidRDefault="00286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1A7A" w14:textId="77777777" w:rsidR="00C220FD" w:rsidRDefault="00C220FD" w:rsidP="00286371">
      <w:pPr>
        <w:spacing w:after="0" w:line="240" w:lineRule="auto"/>
      </w:pPr>
      <w:r>
        <w:separator/>
      </w:r>
    </w:p>
  </w:footnote>
  <w:footnote w:type="continuationSeparator" w:id="0">
    <w:p w14:paraId="18FFF184" w14:textId="77777777" w:rsidR="00C220FD" w:rsidRDefault="00C220FD" w:rsidP="00286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1" w15:restartNumberingAfterBreak="0">
    <w:nsid w:val="0174612E"/>
    <w:multiLevelType w:val="hybridMultilevel"/>
    <w:tmpl w:val="CA1A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376"/>
    <w:multiLevelType w:val="hybridMultilevel"/>
    <w:tmpl w:val="47584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93742"/>
    <w:multiLevelType w:val="hybridMultilevel"/>
    <w:tmpl w:val="BB2C1B18"/>
    <w:lvl w:ilvl="0" w:tplc="AD2E2E6E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4" w15:restartNumberingAfterBreak="0">
    <w:nsid w:val="10E37849"/>
    <w:multiLevelType w:val="hybridMultilevel"/>
    <w:tmpl w:val="603691F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988"/>
        </w:tabs>
        <w:ind w:left="1988" w:hanging="908"/>
      </w:pPr>
      <w:rPr>
        <w:rFonts w:hint="default"/>
        <w:b w:val="0"/>
        <w:i w:val="0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D497A"/>
    <w:multiLevelType w:val="hybridMultilevel"/>
    <w:tmpl w:val="1C346A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C0B21"/>
    <w:multiLevelType w:val="hybridMultilevel"/>
    <w:tmpl w:val="306AD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026A5"/>
    <w:multiLevelType w:val="hybridMultilevel"/>
    <w:tmpl w:val="6DD28AD0"/>
    <w:lvl w:ilvl="0" w:tplc="04150017">
      <w:start w:val="1"/>
      <w:numFmt w:val="lowerLetter"/>
      <w:lvlText w:val="%1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69521E"/>
    <w:multiLevelType w:val="hybridMultilevel"/>
    <w:tmpl w:val="0E6CB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A923E9"/>
    <w:multiLevelType w:val="hybridMultilevel"/>
    <w:tmpl w:val="7F10FB76"/>
    <w:lvl w:ilvl="0" w:tplc="E5BAC6C2">
      <w:start w:val="1"/>
      <w:numFmt w:val="decimal"/>
      <w:lvlText w:val="%1."/>
      <w:lvlJc w:val="left"/>
      <w:pPr>
        <w:ind w:left="-1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F93929"/>
    <w:multiLevelType w:val="multilevel"/>
    <w:tmpl w:val="72523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2D6916"/>
    <w:multiLevelType w:val="hybridMultilevel"/>
    <w:tmpl w:val="9C0E5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6C29"/>
    <w:multiLevelType w:val="hybridMultilevel"/>
    <w:tmpl w:val="553C4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240F"/>
    <w:multiLevelType w:val="hybridMultilevel"/>
    <w:tmpl w:val="36BC13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E1F43"/>
    <w:multiLevelType w:val="hybridMultilevel"/>
    <w:tmpl w:val="1C2C3172"/>
    <w:lvl w:ilvl="0" w:tplc="04150011">
      <w:start w:val="1"/>
      <w:numFmt w:val="decimal"/>
      <w:lvlText w:val="%1)"/>
      <w:lvlJc w:val="left"/>
      <w:pPr>
        <w:tabs>
          <w:tab w:val="num" w:pos="1021"/>
        </w:tabs>
        <w:ind w:left="1021" w:hanging="51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0639FA"/>
    <w:multiLevelType w:val="hybridMultilevel"/>
    <w:tmpl w:val="733C5210"/>
    <w:lvl w:ilvl="0" w:tplc="FFF05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AF5D26"/>
    <w:multiLevelType w:val="hybridMultilevel"/>
    <w:tmpl w:val="79E4B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6294"/>
    <w:multiLevelType w:val="hybridMultilevel"/>
    <w:tmpl w:val="02889300"/>
    <w:lvl w:ilvl="0" w:tplc="29C6035C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6507C44"/>
    <w:multiLevelType w:val="hybridMultilevel"/>
    <w:tmpl w:val="EA682C32"/>
    <w:lvl w:ilvl="0" w:tplc="C62AAB16">
      <w:start w:val="1"/>
      <w:numFmt w:val="decimal"/>
      <w:lvlText w:val="%1."/>
      <w:lvlJc w:val="left"/>
      <w:pPr>
        <w:ind w:left="-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75" w:hanging="360"/>
      </w:pPr>
    </w:lvl>
    <w:lvl w:ilvl="2" w:tplc="0415001B" w:tentative="1">
      <w:start w:val="1"/>
      <w:numFmt w:val="lowerRoman"/>
      <w:lvlText w:val="%3."/>
      <w:lvlJc w:val="right"/>
      <w:pPr>
        <w:ind w:left="1295" w:hanging="180"/>
      </w:pPr>
    </w:lvl>
    <w:lvl w:ilvl="3" w:tplc="0415000F" w:tentative="1">
      <w:start w:val="1"/>
      <w:numFmt w:val="decimal"/>
      <w:lvlText w:val="%4."/>
      <w:lvlJc w:val="left"/>
      <w:pPr>
        <w:ind w:left="2015" w:hanging="360"/>
      </w:pPr>
    </w:lvl>
    <w:lvl w:ilvl="4" w:tplc="04150019" w:tentative="1">
      <w:start w:val="1"/>
      <w:numFmt w:val="lowerLetter"/>
      <w:lvlText w:val="%5."/>
      <w:lvlJc w:val="left"/>
      <w:pPr>
        <w:ind w:left="2735" w:hanging="360"/>
      </w:pPr>
    </w:lvl>
    <w:lvl w:ilvl="5" w:tplc="0415001B" w:tentative="1">
      <w:start w:val="1"/>
      <w:numFmt w:val="lowerRoman"/>
      <w:lvlText w:val="%6."/>
      <w:lvlJc w:val="right"/>
      <w:pPr>
        <w:ind w:left="3455" w:hanging="180"/>
      </w:pPr>
    </w:lvl>
    <w:lvl w:ilvl="6" w:tplc="0415000F" w:tentative="1">
      <w:start w:val="1"/>
      <w:numFmt w:val="decimal"/>
      <w:lvlText w:val="%7."/>
      <w:lvlJc w:val="left"/>
      <w:pPr>
        <w:ind w:left="4175" w:hanging="360"/>
      </w:pPr>
    </w:lvl>
    <w:lvl w:ilvl="7" w:tplc="04150019" w:tentative="1">
      <w:start w:val="1"/>
      <w:numFmt w:val="lowerLetter"/>
      <w:lvlText w:val="%8."/>
      <w:lvlJc w:val="left"/>
      <w:pPr>
        <w:ind w:left="4895" w:hanging="360"/>
      </w:pPr>
    </w:lvl>
    <w:lvl w:ilvl="8" w:tplc="0415001B" w:tentative="1">
      <w:start w:val="1"/>
      <w:numFmt w:val="lowerRoman"/>
      <w:lvlText w:val="%9."/>
      <w:lvlJc w:val="right"/>
      <w:pPr>
        <w:ind w:left="5615" w:hanging="180"/>
      </w:pPr>
    </w:lvl>
  </w:abstractNum>
  <w:abstractNum w:abstractNumId="19" w15:restartNumberingAfterBreak="0">
    <w:nsid w:val="595A29E8"/>
    <w:multiLevelType w:val="hybridMultilevel"/>
    <w:tmpl w:val="E23CB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9088C"/>
    <w:multiLevelType w:val="hybridMultilevel"/>
    <w:tmpl w:val="1DAA5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E244A"/>
    <w:multiLevelType w:val="hybridMultilevel"/>
    <w:tmpl w:val="DABE2F1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010BD9"/>
    <w:multiLevelType w:val="hybridMultilevel"/>
    <w:tmpl w:val="8FA8B94A"/>
    <w:lvl w:ilvl="0" w:tplc="DE48266C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236AD2"/>
    <w:multiLevelType w:val="hybridMultilevel"/>
    <w:tmpl w:val="922C2F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B1530D"/>
    <w:multiLevelType w:val="hybridMultilevel"/>
    <w:tmpl w:val="ECAC14F2"/>
    <w:lvl w:ilvl="0" w:tplc="4EE2AB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DE48266C">
      <w:start w:val="1"/>
      <w:numFmt w:val="decimal"/>
      <w:lvlText w:val="%2)"/>
      <w:lvlJc w:val="left"/>
      <w:pPr>
        <w:ind w:left="112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23"/>
  </w:num>
  <w:num w:numId="3">
    <w:abstractNumId w:val="4"/>
  </w:num>
  <w:num w:numId="4">
    <w:abstractNumId w:val="7"/>
  </w:num>
  <w:num w:numId="5">
    <w:abstractNumId w:val="10"/>
  </w:num>
  <w:num w:numId="6">
    <w:abstractNumId w:val="14"/>
  </w:num>
  <w:num w:numId="7">
    <w:abstractNumId w:val="3"/>
  </w:num>
  <w:num w:numId="8">
    <w:abstractNumId w:val="18"/>
  </w:num>
  <w:num w:numId="9">
    <w:abstractNumId w:val="24"/>
  </w:num>
  <w:num w:numId="10">
    <w:abstractNumId w:val="21"/>
  </w:num>
  <w:num w:numId="11">
    <w:abstractNumId w:val="15"/>
  </w:num>
  <w:num w:numId="12">
    <w:abstractNumId w:val="6"/>
  </w:num>
  <w:num w:numId="13">
    <w:abstractNumId w:val="8"/>
  </w:num>
  <w:num w:numId="14">
    <w:abstractNumId w:val="17"/>
  </w:num>
  <w:num w:numId="15">
    <w:abstractNumId w:val="9"/>
  </w:num>
  <w:num w:numId="16">
    <w:abstractNumId w:val="2"/>
  </w:num>
  <w:num w:numId="17">
    <w:abstractNumId w:val="20"/>
  </w:num>
  <w:num w:numId="18">
    <w:abstractNumId w:val="16"/>
  </w:num>
  <w:num w:numId="19">
    <w:abstractNumId w:val="5"/>
  </w:num>
  <w:num w:numId="20">
    <w:abstractNumId w:val="12"/>
  </w:num>
  <w:num w:numId="21">
    <w:abstractNumId w:val="11"/>
  </w:num>
  <w:num w:numId="22">
    <w:abstractNumId w:val="1"/>
  </w:num>
  <w:num w:numId="23">
    <w:abstractNumId w:val="19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1D"/>
    <w:rsid w:val="00012024"/>
    <w:rsid w:val="000169CD"/>
    <w:rsid w:val="00036C16"/>
    <w:rsid w:val="00042DCE"/>
    <w:rsid w:val="00064961"/>
    <w:rsid w:val="00084E31"/>
    <w:rsid w:val="000B40A9"/>
    <w:rsid w:val="000C2034"/>
    <w:rsid w:val="000D1AC5"/>
    <w:rsid w:val="000E6842"/>
    <w:rsid w:val="00101EC6"/>
    <w:rsid w:val="00113B25"/>
    <w:rsid w:val="001244C3"/>
    <w:rsid w:val="00177651"/>
    <w:rsid w:val="001B6A51"/>
    <w:rsid w:val="001C6C7B"/>
    <w:rsid w:val="00204032"/>
    <w:rsid w:val="00224C3D"/>
    <w:rsid w:val="00243155"/>
    <w:rsid w:val="002451FC"/>
    <w:rsid w:val="00272011"/>
    <w:rsid w:val="00286371"/>
    <w:rsid w:val="00287ED7"/>
    <w:rsid w:val="002A715A"/>
    <w:rsid w:val="002B5011"/>
    <w:rsid w:val="002B5CE6"/>
    <w:rsid w:val="002B6726"/>
    <w:rsid w:val="002B74F7"/>
    <w:rsid w:val="002C34B7"/>
    <w:rsid w:val="00334844"/>
    <w:rsid w:val="00337FC0"/>
    <w:rsid w:val="00344584"/>
    <w:rsid w:val="003731E7"/>
    <w:rsid w:val="00390163"/>
    <w:rsid w:val="003B2A41"/>
    <w:rsid w:val="00432C7F"/>
    <w:rsid w:val="00493F9F"/>
    <w:rsid w:val="004A43FE"/>
    <w:rsid w:val="004B171F"/>
    <w:rsid w:val="004C095A"/>
    <w:rsid w:val="004C0C17"/>
    <w:rsid w:val="004C58ED"/>
    <w:rsid w:val="00536E77"/>
    <w:rsid w:val="00537EF6"/>
    <w:rsid w:val="00550125"/>
    <w:rsid w:val="00585AD7"/>
    <w:rsid w:val="00593882"/>
    <w:rsid w:val="00594D1F"/>
    <w:rsid w:val="005A5A8D"/>
    <w:rsid w:val="005F72A2"/>
    <w:rsid w:val="0062146A"/>
    <w:rsid w:val="006404F1"/>
    <w:rsid w:val="006733DF"/>
    <w:rsid w:val="00690106"/>
    <w:rsid w:val="0069052F"/>
    <w:rsid w:val="0069323B"/>
    <w:rsid w:val="006A6456"/>
    <w:rsid w:val="006C310B"/>
    <w:rsid w:val="006E5536"/>
    <w:rsid w:val="00701353"/>
    <w:rsid w:val="00742D60"/>
    <w:rsid w:val="0074300A"/>
    <w:rsid w:val="00766F0C"/>
    <w:rsid w:val="007A48D6"/>
    <w:rsid w:val="007A79CA"/>
    <w:rsid w:val="007C4515"/>
    <w:rsid w:val="007F0094"/>
    <w:rsid w:val="007F41C8"/>
    <w:rsid w:val="0081689A"/>
    <w:rsid w:val="00817285"/>
    <w:rsid w:val="00831F83"/>
    <w:rsid w:val="00860A9C"/>
    <w:rsid w:val="00875971"/>
    <w:rsid w:val="00886F14"/>
    <w:rsid w:val="008A5E66"/>
    <w:rsid w:val="008C0A27"/>
    <w:rsid w:val="008D3D24"/>
    <w:rsid w:val="009163F4"/>
    <w:rsid w:val="00957008"/>
    <w:rsid w:val="00962EA1"/>
    <w:rsid w:val="00973AE3"/>
    <w:rsid w:val="00A01633"/>
    <w:rsid w:val="00A12A7B"/>
    <w:rsid w:val="00A14BDD"/>
    <w:rsid w:val="00A250DE"/>
    <w:rsid w:val="00A44607"/>
    <w:rsid w:val="00A7665D"/>
    <w:rsid w:val="00AA326B"/>
    <w:rsid w:val="00AC33EE"/>
    <w:rsid w:val="00AD0681"/>
    <w:rsid w:val="00B16939"/>
    <w:rsid w:val="00B56963"/>
    <w:rsid w:val="00B77B6B"/>
    <w:rsid w:val="00BA307B"/>
    <w:rsid w:val="00BB016B"/>
    <w:rsid w:val="00BB0AFE"/>
    <w:rsid w:val="00BC42B8"/>
    <w:rsid w:val="00BE3B1B"/>
    <w:rsid w:val="00C220FD"/>
    <w:rsid w:val="00C312D4"/>
    <w:rsid w:val="00C6138C"/>
    <w:rsid w:val="00C63AD9"/>
    <w:rsid w:val="00CA091D"/>
    <w:rsid w:val="00CA7F2D"/>
    <w:rsid w:val="00D15EDB"/>
    <w:rsid w:val="00D17FD0"/>
    <w:rsid w:val="00D92CFD"/>
    <w:rsid w:val="00DB20CF"/>
    <w:rsid w:val="00DB3C8B"/>
    <w:rsid w:val="00DC7373"/>
    <w:rsid w:val="00DD4B77"/>
    <w:rsid w:val="00E22771"/>
    <w:rsid w:val="00E26858"/>
    <w:rsid w:val="00EA255A"/>
    <w:rsid w:val="00EA5D0E"/>
    <w:rsid w:val="00EB74D8"/>
    <w:rsid w:val="00EC603C"/>
    <w:rsid w:val="00ED14CB"/>
    <w:rsid w:val="00ED48AC"/>
    <w:rsid w:val="00EE40D2"/>
    <w:rsid w:val="00EE45EF"/>
    <w:rsid w:val="00EF083D"/>
    <w:rsid w:val="00F41CEB"/>
    <w:rsid w:val="00F5619F"/>
    <w:rsid w:val="00F67829"/>
    <w:rsid w:val="00F7315E"/>
    <w:rsid w:val="00FC340B"/>
    <w:rsid w:val="00FD43E4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C903"/>
  <w15:chartTrackingRefBased/>
  <w15:docId w15:val="{B19E259B-DE2F-4E80-892A-8A83955A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D14C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4BF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D4BF4"/>
    <w:rPr>
      <w:rFonts w:ascii="Times New Roman" w:eastAsia="Lucida Sans Unicode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rsid w:val="00D17FD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17FD0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C34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0C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25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371"/>
  </w:style>
  <w:style w:type="paragraph" w:styleId="Stopka">
    <w:name w:val="footer"/>
    <w:basedOn w:val="Normalny"/>
    <w:link w:val="StopkaZnak"/>
    <w:uiPriority w:val="99"/>
    <w:unhideWhenUsed/>
    <w:rsid w:val="00286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371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D14CB"/>
    <w:rPr>
      <w:rFonts w:ascii="Cambria" w:eastAsia="Times New Roman" w:hAnsi="Cambria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C39F8-F9E0-4A13-9A46-8F92EC93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9</Pages>
  <Words>2892</Words>
  <Characters>17353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Małgorzata Skukowska</cp:lastModifiedBy>
  <cp:revision>67</cp:revision>
  <cp:lastPrinted>2018-08-21T12:00:00Z</cp:lastPrinted>
  <dcterms:created xsi:type="dcterms:W3CDTF">2017-01-03T10:06:00Z</dcterms:created>
  <dcterms:modified xsi:type="dcterms:W3CDTF">2021-09-21T08:08:00Z</dcterms:modified>
</cp:coreProperties>
</file>