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BEE8" w14:textId="77777777" w:rsidR="00AC0CEB" w:rsidRPr="00ED417D" w:rsidRDefault="00AC0CEB" w:rsidP="00AC0CEB">
      <w:pPr>
        <w:widowControl w:val="0"/>
        <w:tabs>
          <w:tab w:val="center" w:pos="5528"/>
        </w:tabs>
        <w:suppressAutoHyphens/>
        <w:spacing w:after="120" w:line="240" w:lineRule="auto"/>
        <w:ind w:left="709" w:firstLine="709"/>
        <w:rPr>
          <w:rFonts w:ascii="Times New Roman" w:eastAsia="Lucida Sans Unicode" w:hAnsi="Times New Roman" w:cs="Times New Roman"/>
          <w:sz w:val="36"/>
          <w:szCs w:val="36"/>
          <w:lang w:eastAsia="pl-PL"/>
        </w:rPr>
      </w:pPr>
      <w:r w:rsidRPr="00ED417D">
        <w:rPr>
          <w:rFonts w:ascii="Times New Roman" w:eastAsia="Lucida Sans Unicode" w:hAnsi="Times New Roman" w:cs="Times New Roman"/>
          <w:noProof/>
          <w:color w:val="FF0000"/>
          <w:sz w:val="24"/>
          <w:szCs w:val="24"/>
          <w:lang w:eastAsia="pl-PL"/>
        </w:rPr>
        <w:drawing>
          <wp:anchor distT="0" distB="0" distL="114300" distR="114300" simplePos="0" relativeHeight="251659264" behindDoc="1" locked="0" layoutInCell="1" allowOverlap="1" wp14:anchorId="4AAE20F4" wp14:editId="15330CE1">
            <wp:simplePos x="0" y="0"/>
            <wp:positionH relativeFrom="column">
              <wp:posOffset>613410</wp:posOffset>
            </wp:positionH>
            <wp:positionV relativeFrom="paragraph">
              <wp:posOffset>-100965</wp:posOffset>
            </wp:positionV>
            <wp:extent cx="971550" cy="666750"/>
            <wp:effectExtent l="0" t="0" r="0" b="0"/>
            <wp:wrapNone/>
            <wp:docPr id="1" name="Obraz 1" descr="logo-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1" descr="logo-b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pic:spPr>
                </pic:pic>
              </a:graphicData>
            </a:graphic>
            <wp14:sizeRelH relativeFrom="page">
              <wp14:pctWidth>0</wp14:pctWidth>
            </wp14:sizeRelH>
            <wp14:sizeRelV relativeFrom="page">
              <wp14:pctHeight>0</wp14:pctHeight>
            </wp14:sizeRelV>
          </wp:anchor>
        </w:drawing>
      </w:r>
      <w:r w:rsidRPr="00ED417D">
        <w:rPr>
          <w:rFonts w:ascii="Times New Roman" w:eastAsia="Lucida Sans Unicode" w:hAnsi="Times New Roman" w:cs="Times New Roman"/>
          <w:color w:val="FF0000"/>
          <w:sz w:val="36"/>
          <w:szCs w:val="36"/>
          <w:lang w:eastAsia="pl-PL"/>
        </w:rPr>
        <w:t xml:space="preserve">              </w:t>
      </w:r>
      <w:r w:rsidRPr="00ED417D">
        <w:rPr>
          <w:rFonts w:ascii="Times New Roman" w:eastAsia="Lucida Sans Unicode" w:hAnsi="Times New Roman" w:cs="Times New Roman"/>
          <w:sz w:val="36"/>
          <w:szCs w:val="36"/>
          <w:lang w:eastAsia="pl-PL"/>
        </w:rPr>
        <w:t>BANK SPÓŁDZIELCZY W IŁOWEJ</w:t>
      </w:r>
    </w:p>
    <w:p w14:paraId="17939164" w14:textId="77777777" w:rsidR="00AC0CEB" w:rsidRPr="00ED417D" w:rsidRDefault="00AC0CEB" w:rsidP="00AC0CEB">
      <w:pPr>
        <w:widowControl w:val="0"/>
        <w:suppressAutoHyphens/>
        <w:spacing w:after="120" w:line="240" w:lineRule="auto"/>
        <w:rPr>
          <w:rFonts w:ascii="Times New Roman" w:eastAsia="Lucida Sans Unicode" w:hAnsi="Times New Roman" w:cs="Times New Roman"/>
          <w:i/>
          <w:sz w:val="20"/>
          <w:szCs w:val="24"/>
          <w:lang w:eastAsia="pl-PL"/>
        </w:rPr>
      </w:pPr>
      <w:r w:rsidRPr="00ED417D">
        <w:rPr>
          <w:rFonts w:ascii="Times New Roman" w:eastAsia="Lucida Sans Unicode" w:hAnsi="Times New Roman" w:cs="Times New Roman"/>
          <w:sz w:val="24"/>
          <w:szCs w:val="24"/>
          <w:lang w:eastAsia="pl-PL"/>
        </w:rPr>
        <w:t xml:space="preserve">  </w:t>
      </w:r>
      <w:r w:rsidRPr="00ED417D">
        <w:rPr>
          <w:rFonts w:ascii="Times New Roman" w:eastAsia="Lucida Sans Unicode" w:hAnsi="Times New Roman" w:cs="Times New Roman"/>
          <w:sz w:val="24"/>
          <w:szCs w:val="24"/>
          <w:lang w:eastAsia="pl-PL"/>
        </w:rPr>
        <w:tab/>
      </w:r>
      <w:r w:rsidRPr="00ED417D">
        <w:rPr>
          <w:rFonts w:ascii="Times New Roman" w:eastAsia="Lucida Sans Unicode" w:hAnsi="Times New Roman" w:cs="Times New Roman"/>
          <w:sz w:val="24"/>
          <w:szCs w:val="24"/>
          <w:lang w:eastAsia="pl-PL"/>
        </w:rPr>
        <w:tab/>
      </w:r>
      <w:r w:rsidRPr="00ED417D">
        <w:rPr>
          <w:rFonts w:ascii="Times New Roman" w:eastAsia="Lucida Sans Unicode" w:hAnsi="Times New Roman" w:cs="Times New Roman"/>
          <w:sz w:val="24"/>
          <w:szCs w:val="24"/>
          <w:lang w:eastAsia="pl-PL"/>
        </w:rPr>
        <w:tab/>
        <w:t xml:space="preserve">    </w:t>
      </w:r>
      <w:r w:rsidRPr="00ED417D">
        <w:rPr>
          <w:rFonts w:ascii="Times New Roman" w:eastAsia="Lucida Sans Unicode" w:hAnsi="Times New Roman" w:cs="Times New Roman"/>
          <w:sz w:val="24"/>
          <w:szCs w:val="24"/>
          <w:lang w:eastAsia="pl-PL"/>
        </w:rPr>
        <w:tab/>
      </w:r>
      <w:r w:rsidRPr="00ED417D">
        <w:rPr>
          <w:rFonts w:ascii="Times New Roman" w:eastAsia="Lucida Sans Unicode" w:hAnsi="Times New Roman" w:cs="Times New Roman"/>
          <w:sz w:val="20"/>
          <w:szCs w:val="24"/>
          <w:lang w:eastAsia="pl-PL"/>
        </w:rPr>
        <w:t>ZRZESZONY W BANKU POLSKIEJ SPÓŁDZIELCZOŚCI  S.A.</w:t>
      </w:r>
    </w:p>
    <w:p w14:paraId="133D6B45" w14:textId="77777777" w:rsidR="00AC0CEB" w:rsidRPr="00ED417D" w:rsidRDefault="00AC0CEB" w:rsidP="00AC0CEB">
      <w:pPr>
        <w:jc w:val="center"/>
        <w:rPr>
          <w:rFonts w:ascii="Calibri" w:eastAsia="Times New Roman" w:hAnsi="Calibri" w:cs="Times New Roman"/>
          <w:color w:val="FF0000"/>
          <w:sz w:val="20"/>
          <w:lang w:eastAsia="pl-PL"/>
        </w:rPr>
      </w:pPr>
    </w:p>
    <w:p w14:paraId="3648E38C" w14:textId="77777777" w:rsidR="00AC0CEB" w:rsidRPr="00ED417D" w:rsidRDefault="00AC0CEB" w:rsidP="00AC0CEB">
      <w:pPr>
        <w:rPr>
          <w:rFonts w:ascii="Calibri" w:eastAsia="Times New Roman" w:hAnsi="Calibri" w:cs="Times New Roman"/>
          <w:color w:val="FF0000"/>
          <w:lang w:eastAsia="pl-PL"/>
        </w:rPr>
      </w:pPr>
    </w:p>
    <w:p w14:paraId="254E5584" w14:textId="176E92E9" w:rsidR="00AC0CEB" w:rsidRPr="00744418" w:rsidRDefault="00AC0CEB" w:rsidP="00AC0CEB">
      <w:pPr>
        <w:suppressAutoHyphens/>
        <w:spacing w:after="0"/>
        <w:ind w:left="3540" w:firstLine="708"/>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sz w:val="24"/>
          <w:szCs w:val="24"/>
          <w:lang w:eastAsia="pl-PL"/>
        </w:rPr>
        <w:t>Z</w:t>
      </w:r>
      <w:r w:rsidRPr="00744418">
        <w:rPr>
          <w:rFonts w:ascii="Times New Roman" w:eastAsia="Times New Roman" w:hAnsi="Times New Roman" w:cs="Times New Roman"/>
          <w:bCs/>
          <w:i/>
          <w:iCs/>
          <w:sz w:val="24"/>
          <w:szCs w:val="24"/>
          <w:lang w:eastAsia="pl-PL"/>
        </w:rPr>
        <w:t xml:space="preserve">ałącznik do Uchwały Nr </w:t>
      </w:r>
      <w:r w:rsidR="001F3A49" w:rsidRPr="00744418">
        <w:rPr>
          <w:rFonts w:ascii="Times New Roman" w:eastAsia="Times New Roman" w:hAnsi="Times New Roman" w:cs="Times New Roman"/>
          <w:bCs/>
          <w:i/>
          <w:iCs/>
          <w:sz w:val="24"/>
          <w:szCs w:val="24"/>
          <w:lang w:eastAsia="pl-PL"/>
        </w:rPr>
        <w:t>5</w:t>
      </w:r>
      <w:r w:rsidR="00D32445" w:rsidRPr="00744418">
        <w:rPr>
          <w:rFonts w:ascii="Times New Roman" w:eastAsia="Times New Roman" w:hAnsi="Times New Roman" w:cs="Times New Roman"/>
          <w:bCs/>
          <w:i/>
          <w:iCs/>
          <w:sz w:val="24"/>
          <w:szCs w:val="24"/>
          <w:lang w:eastAsia="pl-PL"/>
        </w:rPr>
        <w:t>0</w:t>
      </w:r>
      <w:r w:rsidRPr="00744418">
        <w:rPr>
          <w:rFonts w:ascii="Times New Roman" w:eastAsia="Times New Roman" w:hAnsi="Times New Roman" w:cs="Times New Roman"/>
          <w:bCs/>
          <w:i/>
          <w:iCs/>
          <w:sz w:val="24"/>
          <w:szCs w:val="24"/>
          <w:lang w:eastAsia="pl-PL"/>
        </w:rPr>
        <w:t>/20</w:t>
      </w:r>
      <w:r w:rsidR="001F3A49" w:rsidRPr="00744418">
        <w:rPr>
          <w:rFonts w:ascii="Times New Roman" w:eastAsia="Times New Roman" w:hAnsi="Times New Roman" w:cs="Times New Roman"/>
          <w:bCs/>
          <w:i/>
          <w:iCs/>
          <w:sz w:val="24"/>
          <w:szCs w:val="24"/>
          <w:lang w:eastAsia="pl-PL"/>
        </w:rPr>
        <w:t>2</w:t>
      </w:r>
      <w:r w:rsidR="00D32445" w:rsidRPr="00744418">
        <w:rPr>
          <w:rFonts w:ascii="Times New Roman" w:eastAsia="Times New Roman" w:hAnsi="Times New Roman" w:cs="Times New Roman"/>
          <w:bCs/>
          <w:i/>
          <w:iCs/>
          <w:sz w:val="24"/>
          <w:szCs w:val="24"/>
          <w:lang w:eastAsia="pl-PL"/>
        </w:rPr>
        <w:t>1</w:t>
      </w:r>
    </w:p>
    <w:p w14:paraId="493372C2" w14:textId="77777777" w:rsidR="00AC0CEB" w:rsidRPr="00744418" w:rsidRDefault="00AC0CEB" w:rsidP="00AC0CEB">
      <w:pPr>
        <w:suppressAutoHyphens/>
        <w:overflowPunct w:val="0"/>
        <w:autoSpaceDE w:val="0"/>
        <w:autoSpaceDN w:val="0"/>
        <w:adjustRightInd w:val="0"/>
        <w:spacing w:after="0"/>
        <w:ind w:left="3540" w:firstLine="708"/>
        <w:textAlignment w:val="baseline"/>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bCs/>
          <w:i/>
          <w:iCs/>
          <w:sz w:val="24"/>
          <w:szCs w:val="24"/>
          <w:lang w:eastAsia="pl-PL"/>
        </w:rPr>
        <w:t>Zarządu Banku Spółdzielczego w Iłowej</w:t>
      </w:r>
    </w:p>
    <w:p w14:paraId="55C65318" w14:textId="7ADF39E4" w:rsidR="00AC0CEB" w:rsidRPr="00744418" w:rsidRDefault="00AC0CEB" w:rsidP="00AC0CEB">
      <w:pPr>
        <w:suppressAutoHyphens/>
        <w:overflowPunct w:val="0"/>
        <w:autoSpaceDE w:val="0"/>
        <w:autoSpaceDN w:val="0"/>
        <w:adjustRightInd w:val="0"/>
        <w:spacing w:after="0"/>
        <w:ind w:left="3540" w:firstLine="708"/>
        <w:textAlignment w:val="baseline"/>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bCs/>
          <w:i/>
          <w:iCs/>
          <w:sz w:val="24"/>
          <w:szCs w:val="24"/>
          <w:lang w:eastAsia="pl-PL"/>
        </w:rPr>
        <w:t xml:space="preserve">z dnia </w:t>
      </w:r>
      <w:r w:rsidR="00D32445" w:rsidRPr="00744418">
        <w:rPr>
          <w:rFonts w:ascii="Times New Roman" w:eastAsia="Times New Roman" w:hAnsi="Times New Roman" w:cs="Times New Roman"/>
          <w:bCs/>
          <w:i/>
          <w:iCs/>
          <w:sz w:val="24"/>
          <w:szCs w:val="24"/>
          <w:lang w:eastAsia="pl-PL"/>
        </w:rPr>
        <w:t>15</w:t>
      </w:r>
      <w:r w:rsidRPr="00744418">
        <w:rPr>
          <w:rFonts w:ascii="Times New Roman" w:eastAsia="Times New Roman" w:hAnsi="Times New Roman" w:cs="Times New Roman"/>
          <w:bCs/>
          <w:i/>
          <w:iCs/>
          <w:sz w:val="24"/>
          <w:szCs w:val="24"/>
          <w:lang w:eastAsia="pl-PL"/>
        </w:rPr>
        <w:t>.0</w:t>
      </w:r>
      <w:r w:rsidR="001F3A49" w:rsidRPr="00744418">
        <w:rPr>
          <w:rFonts w:ascii="Times New Roman" w:eastAsia="Times New Roman" w:hAnsi="Times New Roman" w:cs="Times New Roman"/>
          <w:bCs/>
          <w:i/>
          <w:iCs/>
          <w:sz w:val="24"/>
          <w:szCs w:val="24"/>
          <w:lang w:eastAsia="pl-PL"/>
        </w:rPr>
        <w:t>6</w:t>
      </w:r>
      <w:r w:rsidRPr="00744418">
        <w:rPr>
          <w:rFonts w:ascii="Times New Roman" w:eastAsia="Times New Roman" w:hAnsi="Times New Roman" w:cs="Times New Roman"/>
          <w:bCs/>
          <w:i/>
          <w:iCs/>
          <w:sz w:val="24"/>
          <w:szCs w:val="24"/>
          <w:lang w:eastAsia="pl-PL"/>
        </w:rPr>
        <w:t>.20</w:t>
      </w:r>
      <w:r w:rsidR="001F3A49" w:rsidRPr="00744418">
        <w:rPr>
          <w:rFonts w:ascii="Times New Roman" w:eastAsia="Times New Roman" w:hAnsi="Times New Roman" w:cs="Times New Roman"/>
          <w:bCs/>
          <w:i/>
          <w:iCs/>
          <w:sz w:val="24"/>
          <w:szCs w:val="24"/>
          <w:lang w:eastAsia="pl-PL"/>
        </w:rPr>
        <w:t>2</w:t>
      </w:r>
      <w:r w:rsidR="00D32445" w:rsidRPr="00744418">
        <w:rPr>
          <w:rFonts w:ascii="Times New Roman" w:eastAsia="Times New Roman" w:hAnsi="Times New Roman" w:cs="Times New Roman"/>
          <w:bCs/>
          <w:i/>
          <w:iCs/>
          <w:sz w:val="24"/>
          <w:szCs w:val="24"/>
          <w:lang w:eastAsia="pl-PL"/>
        </w:rPr>
        <w:t>1</w:t>
      </w:r>
      <w:r w:rsidRPr="00744418">
        <w:rPr>
          <w:rFonts w:ascii="Times New Roman" w:eastAsia="Times New Roman" w:hAnsi="Times New Roman" w:cs="Times New Roman"/>
          <w:bCs/>
          <w:i/>
          <w:iCs/>
          <w:sz w:val="24"/>
          <w:szCs w:val="24"/>
          <w:lang w:eastAsia="pl-PL"/>
        </w:rPr>
        <w:t xml:space="preserve"> r.</w:t>
      </w:r>
    </w:p>
    <w:p w14:paraId="346E98A9" w14:textId="77777777" w:rsidR="00AC0CEB" w:rsidRPr="00744418" w:rsidRDefault="00AC0CEB" w:rsidP="00AC0CEB">
      <w:pPr>
        <w:suppressAutoHyphens/>
        <w:overflowPunct w:val="0"/>
        <w:autoSpaceDE w:val="0"/>
        <w:autoSpaceDN w:val="0"/>
        <w:adjustRightInd w:val="0"/>
        <w:spacing w:after="0"/>
        <w:ind w:left="4800"/>
        <w:textAlignment w:val="baseline"/>
        <w:rPr>
          <w:rFonts w:ascii="Times New Roman" w:eastAsia="Times New Roman" w:hAnsi="Times New Roman" w:cs="Times New Roman"/>
          <w:bCs/>
          <w:i/>
          <w:iCs/>
          <w:sz w:val="24"/>
          <w:szCs w:val="24"/>
          <w:lang w:eastAsia="pl-PL"/>
        </w:rPr>
      </w:pPr>
    </w:p>
    <w:p w14:paraId="11E3562D" w14:textId="52F7CF58" w:rsidR="00AC0CEB" w:rsidRPr="00744418" w:rsidRDefault="00AC0CEB" w:rsidP="00AC0CEB">
      <w:pPr>
        <w:suppressAutoHyphens/>
        <w:overflowPunct w:val="0"/>
        <w:autoSpaceDE w:val="0"/>
        <w:autoSpaceDN w:val="0"/>
        <w:adjustRightInd w:val="0"/>
        <w:spacing w:after="0"/>
        <w:ind w:left="3540" w:firstLine="708"/>
        <w:textAlignment w:val="baseline"/>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bCs/>
          <w:i/>
          <w:iCs/>
          <w:sz w:val="24"/>
          <w:szCs w:val="24"/>
          <w:lang w:eastAsia="pl-PL"/>
        </w:rPr>
        <w:t xml:space="preserve">Załącznik do uchwały Nr </w:t>
      </w:r>
      <w:r w:rsidR="004E5B24" w:rsidRPr="00744418">
        <w:rPr>
          <w:rFonts w:ascii="Times New Roman" w:eastAsia="Times New Roman" w:hAnsi="Times New Roman" w:cs="Times New Roman"/>
          <w:bCs/>
          <w:i/>
          <w:iCs/>
          <w:sz w:val="24"/>
          <w:szCs w:val="24"/>
          <w:lang w:eastAsia="pl-PL"/>
        </w:rPr>
        <w:t>1</w:t>
      </w:r>
      <w:r w:rsidR="00D32445" w:rsidRPr="00744418">
        <w:rPr>
          <w:rFonts w:ascii="Times New Roman" w:eastAsia="Times New Roman" w:hAnsi="Times New Roman" w:cs="Times New Roman"/>
          <w:bCs/>
          <w:i/>
          <w:iCs/>
          <w:sz w:val="24"/>
          <w:szCs w:val="24"/>
          <w:lang w:eastAsia="pl-PL"/>
        </w:rPr>
        <w:t>5</w:t>
      </w:r>
      <w:r w:rsidRPr="00744418">
        <w:rPr>
          <w:rFonts w:ascii="Times New Roman" w:eastAsia="Times New Roman" w:hAnsi="Times New Roman" w:cs="Times New Roman"/>
          <w:bCs/>
          <w:i/>
          <w:iCs/>
          <w:sz w:val="24"/>
          <w:szCs w:val="24"/>
          <w:lang w:eastAsia="pl-PL"/>
        </w:rPr>
        <w:t>/20</w:t>
      </w:r>
      <w:r w:rsidR="004E5B24" w:rsidRPr="00744418">
        <w:rPr>
          <w:rFonts w:ascii="Times New Roman" w:eastAsia="Times New Roman" w:hAnsi="Times New Roman" w:cs="Times New Roman"/>
          <w:bCs/>
          <w:i/>
          <w:iCs/>
          <w:sz w:val="24"/>
          <w:szCs w:val="24"/>
          <w:lang w:eastAsia="pl-PL"/>
        </w:rPr>
        <w:t>2</w:t>
      </w:r>
      <w:r w:rsidR="00D32445" w:rsidRPr="00744418">
        <w:rPr>
          <w:rFonts w:ascii="Times New Roman" w:eastAsia="Times New Roman" w:hAnsi="Times New Roman" w:cs="Times New Roman"/>
          <w:bCs/>
          <w:i/>
          <w:iCs/>
          <w:sz w:val="24"/>
          <w:szCs w:val="24"/>
          <w:lang w:eastAsia="pl-PL"/>
        </w:rPr>
        <w:t>1</w:t>
      </w:r>
    </w:p>
    <w:p w14:paraId="596DBA76" w14:textId="77777777" w:rsidR="00AC0CEB" w:rsidRPr="00744418" w:rsidRDefault="00AC0CEB" w:rsidP="00AC0CEB">
      <w:pPr>
        <w:suppressAutoHyphens/>
        <w:overflowPunct w:val="0"/>
        <w:autoSpaceDE w:val="0"/>
        <w:autoSpaceDN w:val="0"/>
        <w:adjustRightInd w:val="0"/>
        <w:spacing w:after="0"/>
        <w:ind w:left="4092" w:firstLine="156"/>
        <w:textAlignment w:val="baseline"/>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bCs/>
          <w:i/>
          <w:iCs/>
          <w:sz w:val="24"/>
          <w:szCs w:val="24"/>
          <w:lang w:eastAsia="pl-PL"/>
        </w:rPr>
        <w:t>Rady Nadzorczej Banku Spółdzielczego w Iłowej</w:t>
      </w:r>
    </w:p>
    <w:p w14:paraId="619730F5" w14:textId="71FD8093" w:rsidR="00AC0CEB" w:rsidRPr="00744418" w:rsidRDefault="00AC0CEB" w:rsidP="00AC0CEB">
      <w:pPr>
        <w:suppressAutoHyphens/>
        <w:overflowPunct w:val="0"/>
        <w:autoSpaceDE w:val="0"/>
        <w:autoSpaceDN w:val="0"/>
        <w:adjustRightInd w:val="0"/>
        <w:spacing w:after="0"/>
        <w:ind w:left="3540" w:firstLine="708"/>
        <w:textAlignment w:val="baseline"/>
        <w:rPr>
          <w:rFonts w:ascii="Times New Roman" w:eastAsia="Times New Roman" w:hAnsi="Times New Roman" w:cs="Times New Roman"/>
          <w:bCs/>
          <w:i/>
          <w:iCs/>
          <w:sz w:val="24"/>
          <w:szCs w:val="24"/>
          <w:lang w:eastAsia="pl-PL"/>
        </w:rPr>
      </w:pPr>
      <w:r w:rsidRPr="00744418">
        <w:rPr>
          <w:rFonts w:ascii="Times New Roman" w:eastAsia="Times New Roman" w:hAnsi="Times New Roman" w:cs="Times New Roman"/>
          <w:bCs/>
          <w:i/>
          <w:iCs/>
          <w:sz w:val="24"/>
          <w:szCs w:val="24"/>
          <w:lang w:eastAsia="pl-PL"/>
        </w:rPr>
        <w:t>z dnia</w:t>
      </w:r>
      <w:r w:rsidR="00744418" w:rsidRPr="00744418">
        <w:rPr>
          <w:rFonts w:ascii="Times New Roman" w:eastAsia="Times New Roman" w:hAnsi="Times New Roman" w:cs="Times New Roman"/>
          <w:bCs/>
          <w:i/>
          <w:iCs/>
          <w:sz w:val="24"/>
          <w:szCs w:val="24"/>
          <w:lang w:eastAsia="pl-PL"/>
        </w:rPr>
        <w:t xml:space="preserve"> 28</w:t>
      </w:r>
      <w:r w:rsidRPr="00744418">
        <w:rPr>
          <w:rFonts w:ascii="Times New Roman" w:eastAsia="Times New Roman" w:hAnsi="Times New Roman" w:cs="Times New Roman"/>
          <w:bCs/>
          <w:i/>
          <w:iCs/>
          <w:sz w:val="24"/>
          <w:szCs w:val="24"/>
          <w:lang w:eastAsia="pl-PL"/>
        </w:rPr>
        <w:t>.0</w:t>
      </w:r>
      <w:r w:rsidR="00D32445" w:rsidRPr="00744418">
        <w:rPr>
          <w:rFonts w:ascii="Times New Roman" w:eastAsia="Times New Roman" w:hAnsi="Times New Roman" w:cs="Times New Roman"/>
          <w:bCs/>
          <w:i/>
          <w:iCs/>
          <w:sz w:val="24"/>
          <w:szCs w:val="24"/>
          <w:lang w:eastAsia="pl-PL"/>
        </w:rPr>
        <w:t>7</w:t>
      </w:r>
      <w:r w:rsidRPr="00744418">
        <w:rPr>
          <w:rFonts w:ascii="Times New Roman" w:eastAsia="Times New Roman" w:hAnsi="Times New Roman" w:cs="Times New Roman"/>
          <w:bCs/>
          <w:i/>
          <w:iCs/>
          <w:sz w:val="24"/>
          <w:szCs w:val="24"/>
          <w:lang w:eastAsia="pl-PL"/>
        </w:rPr>
        <w:t>.20</w:t>
      </w:r>
      <w:r w:rsidR="004E5B24" w:rsidRPr="00744418">
        <w:rPr>
          <w:rFonts w:ascii="Times New Roman" w:eastAsia="Times New Roman" w:hAnsi="Times New Roman" w:cs="Times New Roman"/>
          <w:bCs/>
          <w:i/>
          <w:iCs/>
          <w:sz w:val="24"/>
          <w:szCs w:val="24"/>
          <w:lang w:eastAsia="pl-PL"/>
        </w:rPr>
        <w:t>2</w:t>
      </w:r>
      <w:r w:rsidR="00D32445" w:rsidRPr="00744418">
        <w:rPr>
          <w:rFonts w:ascii="Times New Roman" w:eastAsia="Times New Roman" w:hAnsi="Times New Roman" w:cs="Times New Roman"/>
          <w:bCs/>
          <w:i/>
          <w:iCs/>
          <w:sz w:val="24"/>
          <w:szCs w:val="24"/>
          <w:lang w:eastAsia="pl-PL"/>
        </w:rPr>
        <w:t>1</w:t>
      </w:r>
      <w:r w:rsidRPr="00744418">
        <w:rPr>
          <w:rFonts w:ascii="Times New Roman" w:eastAsia="Times New Roman" w:hAnsi="Times New Roman" w:cs="Times New Roman"/>
          <w:bCs/>
          <w:i/>
          <w:iCs/>
          <w:sz w:val="24"/>
          <w:szCs w:val="24"/>
          <w:lang w:eastAsia="pl-PL"/>
        </w:rPr>
        <w:t xml:space="preserve"> r.</w:t>
      </w:r>
    </w:p>
    <w:p w14:paraId="003E1D05" w14:textId="77777777" w:rsidR="00AC0CEB" w:rsidRPr="00ED417D" w:rsidRDefault="00AC0CEB" w:rsidP="00AC0CEB">
      <w:pPr>
        <w:suppressAutoHyphens/>
        <w:overflowPunct w:val="0"/>
        <w:autoSpaceDE w:val="0"/>
        <w:autoSpaceDN w:val="0"/>
        <w:adjustRightInd w:val="0"/>
        <w:textAlignment w:val="baseline"/>
        <w:rPr>
          <w:rFonts w:ascii="Calibri" w:eastAsia="Times New Roman" w:hAnsi="Calibri" w:cs="Times New Roman"/>
          <w:bCs/>
          <w:i/>
          <w:iCs/>
          <w:color w:val="FF0000"/>
          <w:lang w:eastAsia="pl-PL"/>
        </w:rPr>
      </w:pPr>
      <w:r w:rsidRPr="00ED417D">
        <w:rPr>
          <w:rFonts w:ascii="Calibri" w:eastAsia="Times New Roman" w:hAnsi="Calibri" w:cs="Times New Roman"/>
          <w:bCs/>
          <w:i/>
          <w:iCs/>
          <w:color w:val="FF0000"/>
          <w:lang w:eastAsia="pl-PL"/>
        </w:rPr>
        <w:tab/>
      </w:r>
      <w:r w:rsidRPr="00ED417D">
        <w:rPr>
          <w:rFonts w:ascii="Calibri" w:eastAsia="Times New Roman" w:hAnsi="Calibri" w:cs="Times New Roman"/>
          <w:bCs/>
          <w:i/>
          <w:iCs/>
          <w:color w:val="FF0000"/>
          <w:lang w:eastAsia="pl-PL"/>
        </w:rPr>
        <w:tab/>
      </w:r>
      <w:r w:rsidRPr="00ED417D">
        <w:rPr>
          <w:rFonts w:ascii="Calibri" w:eastAsia="Times New Roman" w:hAnsi="Calibri" w:cs="Times New Roman"/>
          <w:bCs/>
          <w:i/>
          <w:iCs/>
          <w:color w:val="FF0000"/>
          <w:lang w:eastAsia="pl-PL"/>
        </w:rPr>
        <w:tab/>
      </w:r>
      <w:r w:rsidRPr="00ED417D">
        <w:rPr>
          <w:rFonts w:ascii="Calibri" w:eastAsia="Times New Roman" w:hAnsi="Calibri" w:cs="Times New Roman"/>
          <w:bCs/>
          <w:i/>
          <w:iCs/>
          <w:color w:val="FF0000"/>
          <w:lang w:eastAsia="pl-PL"/>
        </w:rPr>
        <w:tab/>
      </w:r>
      <w:r w:rsidRPr="00ED417D">
        <w:rPr>
          <w:rFonts w:ascii="Calibri" w:eastAsia="Times New Roman" w:hAnsi="Calibri" w:cs="Times New Roman"/>
          <w:bCs/>
          <w:i/>
          <w:iCs/>
          <w:color w:val="FF0000"/>
          <w:lang w:eastAsia="pl-PL"/>
        </w:rPr>
        <w:tab/>
      </w:r>
      <w:r w:rsidRPr="00ED417D">
        <w:rPr>
          <w:rFonts w:ascii="Calibri" w:eastAsia="Times New Roman" w:hAnsi="Calibri" w:cs="Times New Roman"/>
          <w:bCs/>
          <w:i/>
          <w:iCs/>
          <w:color w:val="FF0000"/>
          <w:lang w:eastAsia="pl-PL"/>
        </w:rPr>
        <w:tab/>
      </w:r>
    </w:p>
    <w:p w14:paraId="69EBFF83" w14:textId="77777777" w:rsidR="00AC0CEB" w:rsidRPr="00ED417D" w:rsidRDefault="00AC0CEB" w:rsidP="00AC0CEB">
      <w:pPr>
        <w:rPr>
          <w:rFonts w:ascii="Calibri" w:eastAsia="Times New Roman" w:hAnsi="Calibri" w:cs="Times New Roman"/>
          <w:color w:val="FF0000"/>
          <w:lang w:eastAsia="zh-CN"/>
        </w:rPr>
      </w:pPr>
    </w:p>
    <w:p w14:paraId="1DB6355C" w14:textId="77777777" w:rsidR="00AC0CEB" w:rsidRPr="00ED417D" w:rsidRDefault="00AC0CEB" w:rsidP="00AC0CEB">
      <w:pPr>
        <w:spacing w:after="0"/>
        <w:jc w:val="both"/>
        <w:rPr>
          <w:rFonts w:ascii="Times New Roman" w:eastAsia="Times New Roman" w:hAnsi="Times New Roman" w:cs="Times New Roman"/>
          <w:color w:val="FF0000"/>
          <w:sz w:val="24"/>
          <w:szCs w:val="24"/>
          <w:lang w:eastAsia="pl-PL"/>
        </w:rPr>
      </w:pPr>
    </w:p>
    <w:p w14:paraId="7229DA71" w14:textId="77777777" w:rsidR="00AC0CEB" w:rsidRPr="00ED417D" w:rsidRDefault="00AC0CEB" w:rsidP="00AC0CEB">
      <w:pPr>
        <w:spacing w:after="0"/>
        <w:jc w:val="both"/>
        <w:rPr>
          <w:rFonts w:ascii="Times New Roman" w:eastAsia="Times New Roman" w:hAnsi="Times New Roman" w:cs="Times New Roman"/>
          <w:color w:val="FF0000"/>
          <w:sz w:val="24"/>
          <w:szCs w:val="24"/>
          <w:lang w:eastAsia="pl-PL"/>
        </w:rPr>
      </w:pPr>
    </w:p>
    <w:p w14:paraId="0CA93180" w14:textId="352383F5" w:rsidR="00C5555F" w:rsidRPr="00ED417D" w:rsidRDefault="00C5555F" w:rsidP="00AC0CEB">
      <w:pPr>
        <w:spacing w:after="0" w:line="240" w:lineRule="auto"/>
        <w:jc w:val="center"/>
        <w:rPr>
          <w:rFonts w:ascii="Times New Roman" w:hAnsi="Times New Roman" w:cs="Times New Roman"/>
          <w:color w:val="FF0000"/>
          <w:sz w:val="40"/>
          <w:szCs w:val="40"/>
        </w:rPr>
      </w:pPr>
    </w:p>
    <w:p w14:paraId="2E8A30D6" w14:textId="77777777" w:rsidR="00AC0CEB" w:rsidRPr="00ED417D" w:rsidRDefault="00AC0CEB" w:rsidP="00AC0CEB">
      <w:pPr>
        <w:spacing w:after="0" w:line="240" w:lineRule="auto"/>
        <w:jc w:val="center"/>
        <w:rPr>
          <w:rFonts w:ascii="Times New Roman" w:hAnsi="Times New Roman" w:cs="Times New Roman"/>
          <w:color w:val="FF0000"/>
          <w:sz w:val="40"/>
          <w:szCs w:val="40"/>
        </w:rPr>
      </w:pPr>
    </w:p>
    <w:p w14:paraId="51DCB87E" w14:textId="77777777" w:rsidR="00FB4D04" w:rsidRPr="00ED417D" w:rsidRDefault="00FB4D04" w:rsidP="00AC0CEB">
      <w:pPr>
        <w:spacing w:after="0" w:line="240" w:lineRule="auto"/>
        <w:jc w:val="center"/>
        <w:rPr>
          <w:rFonts w:ascii="Times New Roman" w:hAnsi="Times New Roman" w:cs="Times New Roman"/>
          <w:b/>
          <w:sz w:val="40"/>
          <w:szCs w:val="40"/>
        </w:rPr>
      </w:pPr>
      <w:r w:rsidRPr="00ED417D">
        <w:rPr>
          <w:rFonts w:ascii="Times New Roman" w:hAnsi="Times New Roman" w:cs="Times New Roman"/>
          <w:b/>
          <w:sz w:val="40"/>
          <w:szCs w:val="40"/>
        </w:rPr>
        <w:t>Informacja z zakresu</w:t>
      </w:r>
    </w:p>
    <w:p w14:paraId="1B9E8E12" w14:textId="77777777" w:rsidR="00236DB6" w:rsidRPr="00ED417D" w:rsidRDefault="00FB4D04" w:rsidP="00AC0CEB">
      <w:pPr>
        <w:spacing w:after="0" w:line="240" w:lineRule="auto"/>
        <w:jc w:val="center"/>
        <w:rPr>
          <w:rFonts w:ascii="Times New Roman" w:hAnsi="Times New Roman" w:cs="Times New Roman"/>
          <w:b/>
          <w:sz w:val="40"/>
          <w:szCs w:val="40"/>
        </w:rPr>
      </w:pPr>
      <w:r w:rsidRPr="00ED417D">
        <w:rPr>
          <w:rFonts w:ascii="Times New Roman" w:hAnsi="Times New Roman" w:cs="Times New Roman"/>
          <w:b/>
          <w:sz w:val="40"/>
          <w:szCs w:val="40"/>
        </w:rPr>
        <w:t>profilu ryzyka i poziomu kapitału</w:t>
      </w:r>
    </w:p>
    <w:p w14:paraId="2CBD0947" w14:textId="77777777" w:rsidR="00482D31" w:rsidRPr="00ED417D" w:rsidRDefault="00482D31" w:rsidP="00AC0CEB">
      <w:pPr>
        <w:spacing w:after="0" w:line="240" w:lineRule="auto"/>
        <w:jc w:val="center"/>
        <w:rPr>
          <w:rFonts w:ascii="Times New Roman" w:hAnsi="Times New Roman" w:cs="Times New Roman"/>
          <w:b/>
          <w:sz w:val="40"/>
          <w:szCs w:val="40"/>
        </w:rPr>
      </w:pPr>
    </w:p>
    <w:p w14:paraId="55F096A9" w14:textId="01C41C81" w:rsidR="00482D31" w:rsidRPr="00ED417D" w:rsidRDefault="00FB4D04" w:rsidP="00AC0CEB">
      <w:pPr>
        <w:spacing w:after="0" w:line="240" w:lineRule="auto"/>
        <w:jc w:val="center"/>
        <w:rPr>
          <w:rFonts w:ascii="Times New Roman" w:hAnsi="Times New Roman" w:cs="Times New Roman"/>
          <w:b/>
          <w:sz w:val="40"/>
          <w:szCs w:val="40"/>
        </w:rPr>
      </w:pPr>
      <w:r w:rsidRPr="00ED417D">
        <w:rPr>
          <w:rFonts w:ascii="Times New Roman" w:hAnsi="Times New Roman" w:cs="Times New Roman"/>
          <w:b/>
          <w:sz w:val="40"/>
          <w:szCs w:val="40"/>
        </w:rPr>
        <w:t xml:space="preserve">Banku Spółdzielczego w </w:t>
      </w:r>
      <w:r w:rsidR="00AC0CEB" w:rsidRPr="00ED417D">
        <w:rPr>
          <w:rFonts w:ascii="Times New Roman" w:hAnsi="Times New Roman" w:cs="Times New Roman"/>
          <w:b/>
          <w:sz w:val="40"/>
          <w:szCs w:val="40"/>
        </w:rPr>
        <w:t>Iłowej</w:t>
      </w:r>
    </w:p>
    <w:p w14:paraId="48C625EE" w14:textId="77777777" w:rsidR="00AC0CEB" w:rsidRPr="00ED417D" w:rsidRDefault="00AC0CEB" w:rsidP="00AC0CEB">
      <w:pPr>
        <w:spacing w:after="0" w:line="240" w:lineRule="auto"/>
        <w:jc w:val="center"/>
        <w:rPr>
          <w:rFonts w:ascii="Times New Roman" w:hAnsi="Times New Roman" w:cs="Times New Roman"/>
          <w:b/>
          <w:sz w:val="32"/>
          <w:szCs w:val="32"/>
        </w:rPr>
      </w:pPr>
    </w:p>
    <w:p w14:paraId="09D0BBB9" w14:textId="7B1C697C" w:rsidR="007A0BD9" w:rsidRPr="00ED417D" w:rsidRDefault="00FB4D04" w:rsidP="00AC0CEB">
      <w:pPr>
        <w:spacing w:after="0" w:line="240" w:lineRule="auto"/>
        <w:jc w:val="center"/>
        <w:rPr>
          <w:rFonts w:ascii="Times New Roman" w:hAnsi="Times New Roman" w:cs="Times New Roman"/>
          <w:b/>
          <w:sz w:val="32"/>
          <w:szCs w:val="32"/>
        </w:rPr>
      </w:pPr>
      <w:r w:rsidRPr="00ED417D">
        <w:rPr>
          <w:rFonts w:ascii="Times New Roman" w:hAnsi="Times New Roman" w:cs="Times New Roman"/>
          <w:b/>
          <w:sz w:val="32"/>
          <w:szCs w:val="32"/>
        </w:rPr>
        <w:t xml:space="preserve">według stanu na </w:t>
      </w:r>
      <w:r w:rsidR="00AC0CEB" w:rsidRPr="00ED417D">
        <w:rPr>
          <w:rFonts w:ascii="Times New Roman" w:hAnsi="Times New Roman" w:cs="Times New Roman"/>
          <w:b/>
          <w:sz w:val="32"/>
          <w:szCs w:val="32"/>
        </w:rPr>
        <w:t>31.12.</w:t>
      </w:r>
      <w:r w:rsidR="00ED417D">
        <w:rPr>
          <w:rFonts w:ascii="Times New Roman" w:hAnsi="Times New Roman" w:cs="Times New Roman"/>
          <w:b/>
          <w:sz w:val="32"/>
          <w:szCs w:val="32"/>
        </w:rPr>
        <w:t>2020</w:t>
      </w:r>
      <w:r w:rsidR="00AC0CEB" w:rsidRPr="00ED417D">
        <w:rPr>
          <w:rFonts w:ascii="Times New Roman" w:hAnsi="Times New Roman" w:cs="Times New Roman"/>
          <w:b/>
          <w:sz w:val="32"/>
          <w:szCs w:val="32"/>
        </w:rPr>
        <w:t xml:space="preserve"> </w:t>
      </w:r>
      <w:r w:rsidRPr="00ED417D">
        <w:rPr>
          <w:rFonts w:ascii="Times New Roman" w:hAnsi="Times New Roman" w:cs="Times New Roman"/>
          <w:b/>
          <w:sz w:val="32"/>
          <w:szCs w:val="32"/>
        </w:rPr>
        <w:t>roku</w:t>
      </w:r>
    </w:p>
    <w:p w14:paraId="27BE5205" w14:textId="77777777" w:rsidR="006B2447" w:rsidRPr="00ED417D" w:rsidRDefault="006B2447" w:rsidP="00AC0CEB">
      <w:pPr>
        <w:spacing w:after="0" w:line="240" w:lineRule="auto"/>
        <w:rPr>
          <w:rFonts w:ascii="Times New Roman" w:hAnsi="Times New Roman" w:cs="Times New Roman"/>
          <w:color w:val="FF0000"/>
        </w:rPr>
      </w:pPr>
    </w:p>
    <w:p w14:paraId="4B5D4AEE" w14:textId="77777777" w:rsidR="006B2447" w:rsidRPr="00ED417D" w:rsidRDefault="006B2447" w:rsidP="00AC0CEB">
      <w:pPr>
        <w:spacing w:after="0" w:line="240" w:lineRule="auto"/>
        <w:rPr>
          <w:rFonts w:ascii="Times New Roman" w:hAnsi="Times New Roman" w:cs="Times New Roman"/>
          <w:color w:val="FF0000"/>
        </w:rPr>
      </w:pPr>
    </w:p>
    <w:p w14:paraId="55106061" w14:textId="77777777" w:rsidR="000E3D0F" w:rsidRPr="00ED417D" w:rsidRDefault="000E3D0F" w:rsidP="00AC0CEB">
      <w:pPr>
        <w:spacing w:after="0" w:line="240" w:lineRule="auto"/>
        <w:rPr>
          <w:rFonts w:ascii="Times New Roman" w:hAnsi="Times New Roman" w:cs="Times New Roman"/>
          <w:color w:val="FF0000"/>
        </w:rPr>
      </w:pPr>
    </w:p>
    <w:p w14:paraId="5ABDE9F8" w14:textId="77777777" w:rsidR="000E3D0F" w:rsidRPr="00ED417D" w:rsidRDefault="000E3D0F" w:rsidP="00AC0CEB">
      <w:pPr>
        <w:spacing w:after="0" w:line="240" w:lineRule="auto"/>
        <w:rPr>
          <w:rFonts w:ascii="Times New Roman" w:hAnsi="Times New Roman" w:cs="Times New Roman"/>
          <w:color w:val="FF0000"/>
        </w:rPr>
      </w:pPr>
    </w:p>
    <w:p w14:paraId="42C5A689" w14:textId="77777777" w:rsidR="000E3D0F" w:rsidRPr="00ED417D" w:rsidRDefault="000E3D0F" w:rsidP="00AC0CEB">
      <w:pPr>
        <w:spacing w:after="0" w:line="240" w:lineRule="auto"/>
        <w:rPr>
          <w:rFonts w:ascii="Times New Roman" w:hAnsi="Times New Roman" w:cs="Times New Roman"/>
          <w:color w:val="FF0000"/>
        </w:rPr>
      </w:pPr>
    </w:p>
    <w:p w14:paraId="3392AEA3" w14:textId="77777777" w:rsidR="000E3D0F" w:rsidRPr="00ED417D" w:rsidRDefault="000E3D0F" w:rsidP="00AC0CEB">
      <w:pPr>
        <w:spacing w:after="0" w:line="240" w:lineRule="auto"/>
        <w:rPr>
          <w:rFonts w:ascii="Times New Roman" w:hAnsi="Times New Roman" w:cs="Times New Roman"/>
          <w:color w:val="FF0000"/>
        </w:rPr>
      </w:pPr>
    </w:p>
    <w:p w14:paraId="1D426707" w14:textId="77777777" w:rsidR="000E3D0F" w:rsidRPr="00ED417D" w:rsidRDefault="000E3D0F" w:rsidP="00AC0CEB">
      <w:pPr>
        <w:spacing w:after="0" w:line="240" w:lineRule="auto"/>
        <w:rPr>
          <w:rFonts w:ascii="Times New Roman" w:hAnsi="Times New Roman" w:cs="Times New Roman"/>
          <w:color w:val="FF0000"/>
        </w:rPr>
      </w:pPr>
    </w:p>
    <w:p w14:paraId="177739C8" w14:textId="77777777" w:rsidR="000E3D0F" w:rsidRPr="00ED417D" w:rsidRDefault="000E3D0F" w:rsidP="00AC0CEB">
      <w:pPr>
        <w:spacing w:after="0" w:line="240" w:lineRule="auto"/>
        <w:rPr>
          <w:rFonts w:ascii="Times New Roman" w:hAnsi="Times New Roman" w:cs="Times New Roman"/>
          <w:color w:val="FF0000"/>
        </w:rPr>
      </w:pPr>
    </w:p>
    <w:p w14:paraId="53F07703" w14:textId="77777777" w:rsidR="000E3D0F" w:rsidRPr="00ED417D" w:rsidRDefault="000E3D0F" w:rsidP="00AC0CEB">
      <w:pPr>
        <w:spacing w:after="0" w:line="240" w:lineRule="auto"/>
        <w:rPr>
          <w:rFonts w:ascii="Times New Roman" w:hAnsi="Times New Roman" w:cs="Times New Roman"/>
          <w:color w:val="FF0000"/>
        </w:rPr>
      </w:pPr>
    </w:p>
    <w:p w14:paraId="4B128143" w14:textId="77777777" w:rsidR="000E3D0F" w:rsidRPr="00ED417D" w:rsidRDefault="000E3D0F" w:rsidP="00AC0CEB">
      <w:pPr>
        <w:spacing w:after="0" w:line="240" w:lineRule="auto"/>
        <w:rPr>
          <w:rFonts w:ascii="Times New Roman" w:hAnsi="Times New Roman" w:cs="Times New Roman"/>
          <w:color w:val="FF0000"/>
        </w:rPr>
      </w:pPr>
    </w:p>
    <w:p w14:paraId="1FF5B2A5" w14:textId="77777777" w:rsidR="000E3D0F" w:rsidRPr="00ED417D" w:rsidRDefault="000E3D0F" w:rsidP="00AC0CEB">
      <w:pPr>
        <w:spacing w:after="0" w:line="240" w:lineRule="auto"/>
        <w:rPr>
          <w:rFonts w:ascii="Times New Roman" w:hAnsi="Times New Roman" w:cs="Times New Roman"/>
          <w:color w:val="FF0000"/>
        </w:rPr>
      </w:pPr>
    </w:p>
    <w:p w14:paraId="2FD32C79" w14:textId="77777777" w:rsidR="000E3D0F" w:rsidRPr="00ED417D" w:rsidRDefault="000E3D0F" w:rsidP="00AC0CEB">
      <w:pPr>
        <w:spacing w:after="0" w:line="240" w:lineRule="auto"/>
        <w:rPr>
          <w:rFonts w:ascii="Times New Roman" w:hAnsi="Times New Roman" w:cs="Times New Roman"/>
          <w:color w:val="FF0000"/>
        </w:rPr>
      </w:pPr>
    </w:p>
    <w:p w14:paraId="535DF134" w14:textId="77777777" w:rsidR="000E3D0F" w:rsidRPr="00ED417D" w:rsidRDefault="000E3D0F" w:rsidP="00AC0CEB">
      <w:pPr>
        <w:spacing w:after="0" w:line="240" w:lineRule="auto"/>
        <w:rPr>
          <w:rFonts w:ascii="Times New Roman" w:hAnsi="Times New Roman" w:cs="Times New Roman"/>
          <w:color w:val="FF0000"/>
        </w:rPr>
      </w:pPr>
    </w:p>
    <w:p w14:paraId="55FB2A29" w14:textId="77777777" w:rsidR="000E3D0F" w:rsidRPr="00ED417D" w:rsidRDefault="000E3D0F" w:rsidP="00AC0CEB">
      <w:pPr>
        <w:spacing w:after="0" w:line="240" w:lineRule="auto"/>
        <w:rPr>
          <w:rFonts w:ascii="Times New Roman" w:hAnsi="Times New Roman" w:cs="Times New Roman"/>
          <w:color w:val="FF0000"/>
        </w:rPr>
      </w:pPr>
    </w:p>
    <w:p w14:paraId="1F8D51AB" w14:textId="77777777" w:rsidR="000E3D0F" w:rsidRPr="00ED417D" w:rsidRDefault="000E3D0F" w:rsidP="00AC0CEB">
      <w:pPr>
        <w:spacing w:after="0" w:line="240" w:lineRule="auto"/>
        <w:rPr>
          <w:rFonts w:ascii="Times New Roman" w:hAnsi="Times New Roman" w:cs="Times New Roman"/>
          <w:color w:val="FF0000"/>
        </w:rPr>
      </w:pPr>
    </w:p>
    <w:p w14:paraId="0B82E0BF" w14:textId="77777777" w:rsidR="00236DB6" w:rsidRPr="00ED417D" w:rsidRDefault="00236DB6" w:rsidP="000E3D0F">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sidRPr="00ED417D">
        <w:rPr>
          <w:rFonts w:ascii="Times New Roman" w:hAnsi="Times New Roman" w:cs="Times New Roman"/>
          <w:color w:val="FF0000"/>
        </w:rPr>
        <w:br w:type="page"/>
      </w:r>
    </w:p>
    <w:p w14:paraId="272FED94" w14:textId="77777777" w:rsidR="00930F63" w:rsidRPr="000A1801" w:rsidRDefault="006472A0"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jc w:val="both"/>
        <w:rPr>
          <w:rFonts w:ascii="Century" w:hAnsi="Century" w:cs="Times New Roman"/>
          <w:b/>
          <w:sz w:val="24"/>
          <w:szCs w:val="24"/>
        </w:rPr>
      </w:pPr>
      <w:r w:rsidRPr="000A1801">
        <w:rPr>
          <w:rFonts w:ascii="Century" w:hAnsi="Century" w:cs="Times New Roman"/>
          <w:b/>
          <w:sz w:val="24"/>
          <w:szCs w:val="24"/>
        </w:rPr>
        <w:lastRenderedPageBreak/>
        <w:t>Podmioty objęte informacją</w:t>
      </w:r>
    </w:p>
    <w:p w14:paraId="74BA03E7" w14:textId="77777777" w:rsidR="007A5048" w:rsidRPr="000A1801" w:rsidRDefault="007A5048" w:rsidP="00930F63">
      <w:pPr>
        <w:pStyle w:val="Akapitzlist"/>
        <w:spacing w:after="0" w:line="240" w:lineRule="auto"/>
        <w:ind w:left="426"/>
        <w:rPr>
          <w:rFonts w:ascii="Times New Roman" w:hAnsi="Times New Roman" w:cs="Times New Roman"/>
          <w:sz w:val="24"/>
          <w:szCs w:val="24"/>
        </w:rPr>
      </w:pPr>
    </w:p>
    <w:p w14:paraId="3BE0D8D7" w14:textId="3E9CB938" w:rsidR="005C5ECE" w:rsidRPr="000A1801" w:rsidRDefault="005C5ECE" w:rsidP="000A1801">
      <w:pPr>
        <w:pStyle w:val="Akapitzlist"/>
        <w:spacing w:after="0" w:line="240" w:lineRule="auto"/>
        <w:ind w:left="0"/>
        <w:jc w:val="both"/>
        <w:rPr>
          <w:rFonts w:ascii="Times New Roman" w:hAnsi="Times New Roman" w:cs="Times New Roman"/>
          <w:b/>
          <w:i/>
          <w:sz w:val="24"/>
          <w:szCs w:val="24"/>
        </w:rPr>
      </w:pPr>
      <w:r w:rsidRPr="000A1801">
        <w:rPr>
          <w:rFonts w:ascii="Times New Roman" w:hAnsi="Times New Roman" w:cs="Times New Roman"/>
          <w:sz w:val="24"/>
          <w:szCs w:val="24"/>
        </w:rPr>
        <w:t>Niniejsza informacja z zakresu profilu ryzyka i poziomu kapitału dotyczy</w:t>
      </w:r>
      <w:r w:rsidR="00AC0CEB" w:rsidRPr="000A1801">
        <w:rPr>
          <w:rFonts w:ascii="Times New Roman" w:hAnsi="Times New Roman" w:cs="Times New Roman"/>
          <w:sz w:val="24"/>
          <w:szCs w:val="24"/>
        </w:rPr>
        <w:t xml:space="preserve"> </w:t>
      </w:r>
      <w:r w:rsidRPr="000A1801">
        <w:rPr>
          <w:rFonts w:ascii="Times New Roman" w:hAnsi="Times New Roman" w:cs="Times New Roman"/>
          <w:b/>
          <w:i/>
          <w:sz w:val="24"/>
          <w:szCs w:val="24"/>
        </w:rPr>
        <w:t xml:space="preserve">Banku Spółdzielczego w </w:t>
      </w:r>
      <w:r w:rsidR="00AC0CEB" w:rsidRPr="000A1801">
        <w:rPr>
          <w:rFonts w:ascii="Times New Roman" w:hAnsi="Times New Roman" w:cs="Times New Roman"/>
          <w:b/>
          <w:i/>
          <w:sz w:val="24"/>
          <w:szCs w:val="24"/>
        </w:rPr>
        <w:t>Iłowej.</w:t>
      </w:r>
    </w:p>
    <w:p w14:paraId="3BEB7DCF" w14:textId="77777777" w:rsidR="005C5ECE" w:rsidRPr="00ED417D" w:rsidRDefault="005C5ECE" w:rsidP="000A1801">
      <w:pPr>
        <w:pStyle w:val="Akapitzlist"/>
        <w:spacing w:after="0" w:line="240" w:lineRule="auto"/>
        <w:ind w:left="0"/>
        <w:rPr>
          <w:rFonts w:ascii="Times New Roman" w:hAnsi="Times New Roman" w:cs="Times New Roman"/>
          <w:color w:val="FF0000"/>
          <w:sz w:val="24"/>
          <w:szCs w:val="24"/>
        </w:rPr>
      </w:pPr>
    </w:p>
    <w:p w14:paraId="54462F89" w14:textId="3B41C089" w:rsidR="008A7614" w:rsidRPr="000A1801" w:rsidRDefault="008A7614" w:rsidP="000A1801">
      <w:pPr>
        <w:pStyle w:val="Akapitzlist"/>
        <w:spacing w:after="0" w:line="240" w:lineRule="auto"/>
        <w:ind w:left="0"/>
        <w:jc w:val="both"/>
        <w:rPr>
          <w:rFonts w:ascii="Times New Roman" w:hAnsi="Times New Roman" w:cs="Times New Roman"/>
          <w:sz w:val="24"/>
          <w:szCs w:val="24"/>
        </w:rPr>
      </w:pPr>
      <w:r w:rsidRPr="000A1801">
        <w:rPr>
          <w:rFonts w:ascii="Times New Roman" w:hAnsi="Times New Roman" w:cs="Times New Roman"/>
          <w:sz w:val="24"/>
          <w:szCs w:val="24"/>
        </w:rPr>
        <w:t xml:space="preserve">Bank jest Uczestnikiem Systemu </w:t>
      </w:r>
      <w:r w:rsidR="006B19B6" w:rsidRPr="000A1801">
        <w:rPr>
          <w:rFonts w:ascii="Times New Roman" w:hAnsi="Times New Roman" w:cs="Times New Roman"/>
          <w:sz w:val="24"/>
          <w:szCs w:val="24"/>
        </w:rPr>
        <w:t>Ochrony Zrzeszenia BPS</w:t>
      </w:r>
      <w:r w:rsidR="00AC0CEB" w:rsidRPr="000A1801">
        <w:rPr>
          <w:rFonts w:ascii="Times New Roman" w:hAnsi="Times New Roman" w:cs="Times New Roman"/>
          <w:sz w:val="24"/>
          <w:szCs w:val="24"/>
        </w:rPr>
        <w:t>,</w:t>
      </w:r>
      <w:r w:rsidRPr="000A1801">
        <w:rPr>
          <w:rFonts w:ascii="Times New Roman" w:hAnsi="Times New Roman" w:cs="Times New Roman"/>
          <w:sz w:val="24"/>
          <w:szCs w:val="24"/>
        </w:rPr>
        <w:t xml:space="preserve"> którego głównym celem jest zapewnianie płynności i wypłacalności.</w:t>
      </w:r>
    </w:p>
    <w:p w14:paraId="239A8399" w14:textId="235FD97B" w:rsidR="008A7614" w:rsidRPr="000A1801" w:rsidRDefault="008A7614" w:rsidP="000A1801">
      <w:pPr>
        <w:pStyle w:val="Akapitzlist"/>
        <w:spacing w:after="0" w:line="240" w:lineRule="auto"/>
        <w:ind w:left="0"/>
        <w:jc w:val="both"/>
        <w:rPr>
          <w:rFonts w:ascii="Times New Roman" w:hAnsi="Times New Roman" w:cs="Times New Roman"/>
          <w:sz w:val="24"/>
          <w:szCs w:val="24"/>
        </w:rPr>
      </w:pPr>
      <w:r w:rsidRPr="000A1801">
        <w:rPr>
          <w:rFonts w:ascii="Times New Roman" w:hAnsi="Times New Roman" w:cs="Times New Roman"/>
          <w:sz w:val="24"/>
          <w:szCs w:val="24"/>
        </w:rPr>
        <w:t xml:space="preserve">Z uczestnictwa w Systemie wynikają korzyści </w:t>
      </w:r>
      <w:r w:rsidR="002C73EB" w:rsidRPr="000A1801">
        <w:rPr>
          <w:rFonts w:ascii="Times New Roman" w:hAnsi="Times New Roman" w:cs="Times New Roman"/>
          <w:sz w:val="24"/>
          <w:szCs w:val="24"/>
        </w:rPr>
        <w:t>– między innymi</w:t>
      </w:r>
      <w:r w:rsidR="00AC0CEB" w:rsidRPr="000A1801">
        <w:rPr>
          <w:rFonts w:ascii="Times New Roman" w:hAnsi="Times New Roman" w:cs="Times New Roman"/>
          <w:sz w:val="24"/>
          <w:szCs w:val="24"/>
        </w:rPr>
        <w:t xml:space="preserve"> </w:t>
      </w:r>
      <w:r w:rsidRPr="000A1801">
        <w:rPr>
          <w:rFonts w:ascii="Times New Roman" w:hAnsi="Times New Roman" w:cs="Times New Roman"/>
          <w:sz w:val="24"/>
          <w:szCs w:val="24"/>
        </w:rPr>
        <w:t xml:space="preserve">dostęp do środków pomocowych w sytuacjach zagrożenia płynności lub wypłacalności, </w:t>
      </w:r>
      <w:r w:rsidR="002C73EB" w:rsidRPr="000A1801">
        <w:rPr>
          <w:rFonts w:ascii="Times New Roman" w:hAnsi="Times New Roman" w:cs="Times New Roman"/>
          <w:sz w:val="24"/>
          <w:szCs w:val="24"/>
        </w:rPr>
        <w:t>oraz obowiązki, do których należy m.in.</w:t>
      </w:r>
      <w:r w:rsidR="00AC0CEB" w:rsidRPr="000A1801">
        <w:rPr>
          <w:rFonts w:ascii="Times New Roman" w:hAnsi="Times New Roman" w:cs="Times New Roman"/>
          <w:sz w:val="24"/>
          <w:szCs w:val="24"/>
        </w:rPr>
        <w:t xml:space="preserve"> </w:t>
      </w:r>
      <w:r w:rsidRPr="000A1801">
        <w:rPr>
          <w:rFonts w:ascii="Times New Roman" w:hAnsi="Times New Roman" w:cs="Times New Roman"/>
          <w:sz w:val="24"/>
          <w:szCs w:val="24"/>
        </w:rPr>
        <w:t>stosowanie systemu limitów ustalonych w Systemie oraz poddawanie się działaniom prewencyjnym podejmowanym przez jednostkę zarządzającą Systemem.</w:t>
      </w:r>
    </w:p>
    <w:p w14:paraId="0598017F" w14:textId="77777777" w:rsidR="008A7614" w:rsidRPr="00ED417D" w:rsidRDefault="008A7614" w:rsidP="000A1801">
      <w:pPr>
        <w:pStyle w:val="Akapitzlist"/>
        <w:spacing w:after="0" w:line="240" w:lineRule="auto"/>
        <w:ind w:left="0"/>
        <w:rPr>
          <w:rFonts w:ascii="Times New Roman" w:hAnsi="Times New Roman" w:cs="Times New Roman"/>
          <w:color w:val="FF0000"/>
          <w:sz w:val="24"/>
          <w:szCs w:val="24"/>
        </w:rPr>
      </w:pPr>
    </w:p>
    <w:p w14:paraId="337E0B47" w14:textId="259016DC" w:rsidR="004B55A4" w:rsidRPr="000A1801" w:rsidRDefault="00930F63" w:rsidP="000A1801">
      <w:pPr>
        <w:pStyle w:val="Akapitzlist"/>
        <w:spacing w:after="0" w:line="240" w:lineRule="auto"/>
        <w:ind w:left="0"/>
        <w:jc w:val="both"/>
        <w:rPr>
          <w:rFonts w:ascii="Times New Roman" w:hAnsi="Times New Roman" w:cs="Times New Roman"/>
          <w:sz w:val="24"/>
          <w:szCs w:val="24"/>
        </w:rPr>
      </w:pPr>
      <w:r w:rsidRPr="000A1801">
        <w:rPr>
          <w:rFonts w:ascii="Times New Roman" w:hAnsi="Times New Roman" w:cs="Times New Roman"/>
          <w:sz w:val="24"/>
          <w:szCs w:val="24"/>
        </w:rPr>
        <w:t xml:space="preserve">Bank posiada </w:t>
      </w:r>
      <w:r w:rsidR="005C5ECE" w:rsidRPr="000A1801">
        <w:rPr>
          <w:rFonts w:ascii="Times New Roman" w:hAnsi="Times New Roman" w:cs="Times New Roman"/>
          <w:sz w:val="24"/>
          <w:szCs w:val="24"/>
        </w:rPr>
        <w:t>zaangażowanie kapitałowe</w:t>
      </w:r>
      <w:r w:rsidRPr="000A1801">
        <w:rPr>
          <w:rFonts w:ascii="Times New Roman" w:hAnsi="Times New Roman" w:cs="Times New Roman"/>
          <w:sz w:val="24"/>
          <w:szCs w:val="24"/>
        </w:rPr>
        <w:t xml:space="preserve"> w następujących podmiotach</w:t>
      </w:r>
      <w:r w:rsidR="007D0CFD" w:rsidRPr="000A1801">
        <w:rPr>
          <w:rFonts w:ascii="Times New Roman" w:hAnsi="Times New Roman" w:cs="Times New Roman"/>
          <w:sz w:val="24"/>
          <w:szCs w:val="24"/>
        </w:rPr>
        <w:t xml:space="preserve"> (których sprawozdania nie podlegaj</w:t>
      </w:r>
      <w:r w:rsidR="00C30259" w:rsidRPr="000A1801">
        <w:rPr>
          <w:rFonts w:ascii="Times New Roman" w:hAnsi="Times New Roman" w:cs="Times New Roman"/>
          <w:sz w:val="24"/>
          <w:szCs w:val="24"/>
        </w:rPr>
        <w:t>ą konsolidacji ze sprawozdaniem</w:t>
      </w:r>
      <w:r w:rsidR="007D0CFD" w:rsidRPr="000A1801">
        <w:rPr>
          <w:rFonts w:ascii="Times New Roman" w:hAnsi="Times New Roman" w:cs="Times New Roman"/>
          <w:sz w:val="24"/>
          <w:szCs w:val="24"/>
        </w:rPr>
        <w:t xml:space="preserve"> Banku)</w:t>
      </w:r>
      <w:r w:rsidRPr="000A1801">
        <w:rPr>
          <w:rFonts w:ascii="Times New Roman" w:hAnsi="Times New Roman" w:cs="Times New Roman"/>
          <w:sz w:val="24"/>
          <w:szCs w:val="24"/>
        </w:rPr>
        <w:t>:</w:t>
      </w:r>
    </w:p>
    <w:p w14:paraId="058367BB" w14:textId="77777777" w:rsidR="00466B2B" w:rsidRPr="00ED417D" w:rsidRDefault="00466B2B" w:rsidP="00930F63">
      <w:pPr>
        <w:spacing w:after="0" w:line="240" w:lineRule="auto"/>
        <w:jc w:val="both"/>
        <w:rPr>
          <w:rFonts w:ascii="Times New Roman" w:hAnsi="Times New Roman" w:cs="Times New Roman"/>
          <w:color w:val="FF0000"/>
          <w:sz w:val="24"/>
          <w:szCs w:val="24"/>
        </w:rPr>
      </w:pPr>
    </w:p>
    <w:tbl>
      <w:tblPr>
        <w:tblStyle w:val="Jasnasiatka1"/>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37"/>
        <w:gridCol w:w="2125"/>
        <w:gridCol w:w="2138"/>
      </w:tblGrid>
      <w:tr w:rsidR="00ED417D" w:rsidRPr="00ED417D" w14:paraId="78466415" w14:textId="77777777" w:rsidTr="004F7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shd w:val="clear" w:color="auto" w:fill="D9D9D9" w:themeFill="background1" w:themeFillShade="D9"/>
            <w:vAlign w:val="center"/>
          </w:tcPr>
          <w:p w14:paraId="1D2F289C" w14:textId="77777777" w:rsidR="007D0CFD" w:rsidRPr="000A1801" w:rsidRDefault="007D0CFD" w:rsidP="00651423">
            <w:pPr>
              <w:jc w:val="center"/>
              <w:rPr>
                <w:rFonts w:ascii="Times New Roman" w:hAnsi="Times New Roman" w:cs="Times New Roman"/>
                <w:i/>
                <w:sz w:val="20"/>
                <w:szCs w:val="20"/>
              </w:rPr>
            </w:pPr>
            <w:r w:rsidRPr="000A1801">
              <w:rPr>
                <w:rFonts w:ascii="Times New Roman" w:hAnsi="Times New Roman" w:cs="Times New Roman"/>
                <w:i/>
                <w:sz w:val="20"/>
                <w:szCs w:val="20"/>
              </w:rPr>
              <w:t>Nazwa podmiotu</w:t>
            </w:r>
          </w:p>
        </w:tc>
        <w:tc>
          <w:tcPr>
            <w:tcW w:w="2162" w:type="dxa"/>
            <w:shd w:val="clear" w:color="auto" w:fill="D9D9D9" w:themeFill="background1" w:themeFillShade="D9"/>
            <w:vAlign w:val="center"/>
          </w:tcPr>
          <w:p w14:paraId="35359A93" w14:textId="77777777" w:rsidR="007D0CFD" w:rsidRPr="000A1801" w:rsidRDefault="007D0CFD" w:rsidP="007D0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A1801">
              <w:rPr>
                <w:rFonts w:ascii="Times New Roman" w:hAnsi="Times New Roman" w:cs="Times New Roman"/>
                <w:i/>
                <w:sz w:val="20"/>
                <w:szCs w:val="20"/>
              </w:rPr>
              <w:t>Kwota zaangażowania</w:t>
            </w:r>
          </w:p>
        </w:tc>
        <w:tc>
          <w:tcPr>
            <w:tcW w:w="2161" w:type="dxa"/>
            <w:shd w:val="clear" w:color="auto" w:fill="D9D9D9" w:themeFill="background1" w:themeFillShade="D9"/>
            <w:vAlign w:val="center"/>
          </w:tcPr>
          <w:p w14:paraId="6477D231" w14:textId="77777777" w:rsidR="007D0CFD" w:rsidRPr="000A1801" w:rsidRDefault="007D0CFD" w:rsidP="006514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A1801">
              <w:rPr>
                <w:rFonts w:ascii="Times New Roman" w:hAnsi="Times New Roman" w:cs="Times New Roman"/>
                <w:i/>
                <w:sz w:val="20"/>
                <w:szCs w:val="20"/>
              </w:rPr>
              <w:t>Przedmiot działalności</w:t>
            </w:r>
          </w:p>
        </w:tc>
        <w:tc>
          <w:tcPr>
            <w:tcW w:w="2162" w:type="dxa"/>
            <w:shd w:val="clear" w:color="auto" w:fill="D9D9D9" w:themeFill="background1" w:themeFillShade="D9"/>
            <w:vAlign w:val="center"/>
          </w:tcPr>
          <w:p w14:paraId="63C78501" w14:textId="77777777" w:rsidR="007D0CFD" w:rsidRPr="000A1801" w:rsidRDefault="000D469F" w:rsidP="006514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A1801">
              <w:rPr>
                <w:rFonts w:ascii="Times New Roman" w:hAnsi="Times New Roman" w:cs="Times New Roman"/>
                <w:i/>
                <w:sz w:val="20"/>
                <w:szCs w:val="20"/>
              </w:rPr>
              <w:t xml:space="preserve">Zaangażowanie kapitałowe pomniejsza/nie pomniejsza fundusze </w:t>
            </w:r>
            <w:r w:rsidR="00C30259" w:rsidRPr="000A1801">
              <w:rPr>
                <w:rFonts w:ascii="Times New Roman" w:hAnsi="Times New Roman" w:cs="Times New Roman"/>
                <w:i/>
                <w:sz w:val="20"/>
                <w:szCs w:val="20"/>
              </w:rPr>
              <w:t>własne B</w:t>
            </w:r>
            <w:r w:rsidRPr="000A1801">
              <w:rPr>
                <w:rFonts w:ascii="Times New Roman" w:hAnsi="Times New Roman" w:cs="Times New Roman"/>
                <w:i/>
                <w:sz w:val="20"/>
                <w:szCs w:val="20"/>
              </w:rPr>
              <w:t>anku</w:t>
            </w:r>
          </w:p>
        </w:tc>
      </w:tr>
      <w:tr w:rsidR="00ED417D" w:rsidRPr="00ED417D" w14:paraId="0AB1CEFA" w14:textId="77777777" w:rsidTr="004F7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shd w:val="clear" w:color="auto" w:fill="auto"/>
          </w:tcPr>
          <w:p w14:paraId="3F7A68F9" w14:textId="2E2B6C19" w:rsidR="007D0CFD" w:rsidRPr="000A1801" w:rsidRDefault="001113C9" w:rsidP="00236DB6">
            <w:pPr>
              <w:jc w:val="both"/>
              <w:rPr>
                <w:rFonts w:ascii="Times New Roman" w:hAnsi="Times New Roman" w:cs="Times New Roman"/>
                <w:b w:val="0"/>
              </w:rPr>
            </w:pPr>
            <w:r w:rsidRPr="000A1801">
              <w:rPr>
                <w:rFonts w:ascii="Times New Roman" w:hAnsi="Times New Roman" w:cs="Times New Roman"/>
                <w:b w:val="0"/>
              </w:rPr>
              <w:t>Bank BPS</w:t>
            </w:r>
          </w:p>
        </w:tc>
        <w:tc>
          <w:tcPr>
            <w:tcW w:w="2162" w:type="dxa"/>
            <w:shd w:val="clear" w:color="auto" w:fill="auto"/>
          </w:tcPr>
          <w:p w14:paraId="5619EF4C" w14:textId="1256370A" w:rsidR="007D0CFD"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1 298</w:t>
            </w:r>
          </w:p>
        </w:tc>
        <w:tc>
          <w:tcPr>
            <w:tcW w:w="2161" w:type="dxa"/>
            <w:shd w:val="clear" w:color="auto" w:fill="auto"/>
          </w:tcPr>
          <w:p w14:paraId="3BFE2474" w14:textId="38E3B1B3" w:rsidR="007D0CFD"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Akcje</w:t>
            </w:r>
          </w:p>
        </w:tc>
        <w:tc>
          <w:tcPr>
            <w:tcW w:w="2162" w:type="dxa"/>
            <w:shd w:val="clear" w:color="auto" w:fill="auto"/>
          </w:tcPr>
          <w:p w14:paraId="1FC95AEC" w14:textId="00AF64F4" w:rsidR="007D0CFD"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w:t>
            </w:r>
          </w:p>
        </w:tc>
      </w:tr>
      <w:tr w:rsidR="00ED417D" w:rsidRPr="00ED417D" w14:paraId="1AB45E50" w14:textId="77777777" w:rsidTr="004F79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shd w:val="clear" w:color="auto" w:fill="auto"/>
          </w:tcPr>
          <w:p w14:paraId="625E0BFC" w14:textId="1CBDC132" w:rsidR="007D0CFD" w:rsidRPr="000A1801" w:rsidRDefault="001113C9" w:rsidP="00236DB6">
            <w:pPr>
              <w:jc w:val="both"/>
              <w:rPr>
                <w:rFonts w:ascii="Times New Roman" w:hAnsi="Times New Roman" w:cs="Times New Roman"/>
                <w:b w:val="0"/>
              </w:rPr>
            </w:pPr>
            <w:r w:rsidRPr="000A1801">
              <w:rPr>
                <w:rFonts w:ascii="Times New Roman" w:hAnsi="Times New Roman" w:cs="Times New Roman"/>
                <w:b w:val="0"/>
              </w:rPr>
              <w:t>Bank SGB</w:t>
            </w:r>
          </w:p>
        </w:tc>
        <w:tc>
          <w:tcPr>
            <w:tcW w:w="2162" w:type="dxa"/>
            <w:shd w:val="clear" w:color="auto" w:fill="auto"/>
          </w:tcPr>
          <w:p w14:paraId="4CFEA11B" w14:textId="36A967F7" w:rsidR="007D0CFD" w:rsidRPr="000A1801" w:rsidRDefault="001113C9" w:rsidP="001113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A1801">
              <w:rPr>
                <w:rFonts w:ascii="Times New Roman" w:hAnsi="Times New Roman" w:cs="Times New Roman"/>
              </w:rPr>
              <w:t>5</w:t>
            </w:r>
          </w:p>
        </w:tc>
        <w:tc>
          <w:tcPr>
            <w:tcW w:w="2161" w:type="dxa"/>
            <w:shd w:val="clear" w:color="auto" w:fill="auto"/>
          </w:tcPr>
          <w:p w14:paraId="5F776B7D" w14:textId="7C568935" w:rsidR="007D0CFD" w:rsidRPr="000A1801" w:rsidRDefault="001113C9" w:rsidP="001113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A1801">
              <w:rPr>
                <w:rFonts w:ascii="Times New Roman" w:hAnsi="Times New Roman" w:cs="Times New Roman"/>
              </w:rPr>
              <w:t>Akcje</w:t>
            </w:r>
          </w:p>
        </w:tc>
        <w:tc>
          <w:tcPr>
            <w:tcW w:w="2162" w:type="dxa"/>
            <w:shd w:val="clear" w:color="auto" w:fill="auto"/>
          </w:tcPr>
          <w:p w14:paraId="03637CB8" w14:textId="30320C62" w:rsidR="007D0CFD" w:rsidRPr="000A1801" w:rsidRDefault="001113C9" w:rsidP="001113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A1801">
              <w:rPr>
                <w:rFonts w:ascii="Times New Roman" w:hAnsi="Times New Roman" w:cs="Times New Roman"/>
              </w:rPr>
              <w:t>-----</w:t>
            </w:r>
          </w:p>
        </w:tc>
      </w:tr>
      <w:tr w:rsidR="00ED417D" w:rsidRPr="00ED417D" w14:paraId="515F6DDD" w14:textId="77777777" w:rsidTr="004F7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shd w:val="clear" w:color="auto" w:fill="auto"/>
          </w:tcPr>
          <w:p w14:paraId="0602FD8A" w14:textId="605805A6" w:rsidR="001113C9" w:rsidRPr="000A1801" w:rsidRDefault="001113C9" w:rsidP="00236DB6">
            <w:pPr>
              <w:jc w:val="both"/>
              <w:rPr>
                <w:rFonts w:ascii="Times New Roman" w:hAnsi="Times New Roman" w:cs="Times New Roman"/>
                <w:b w:val="0"/>
              </w:rPr>
            </w:pPr>
            <w:r w:rsidRPr="000A1801">
              <w:rPr>
                <w:rFonts w:ascii="Times New Roman" w:hAnsi="Times New Roman" w:cs="Times New Roman"/>
                <w:b w:val="0"/>
              </w:rPr>
              <w:t>SSOZ BPS</w:t>
            </w:r>
          </w:p>
        </w:tc>
        <w:tc>
          <w:tcPr>
            <w:tcW w:w="2162" w:type="dxa"/>
            <w:shd w:val="clear" w:color="auto" w:fill="auto"/>
          </w:tcPr>
          <w:p w14:paraId="3BC55B51" w14:textId="2BDD8AC5" w:rsidR="001113C9"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5</w:t>
            </w:r>
          </w:p>
        </w:tc>
        <w:tc>
          <w:tcPr>
            <w:tcW w:w="2161" w:type="dxa"/>
            <w:shd w:val="clear" w:color="auto" w:fill="auto"/>
          </w:tcPr>
          <w:p w14:paraId="1D4D1782" w14:textId="5454EE16" w:rsidR="001113C9"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Udział</w:t>
            </w:r>
          </w:p>
        </w:tc>
        <w:tc>
          <w:tcPr>
            <w:tcW w:w="2162" w:type="dxa"/>
            <w:shd w:val="clear" w:color="auto" w:fill="auto"/>
          </w:tcPr>
          <w:p w14:paraId="318B8AFA" w14:textId="1C87881D" w:rsidR="001113C9" w:rsidRPr="000A1801" w:rsidRDefault="001113C9" w:rsidP="001113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1801">
              <w:rPr>
                <w:rFonts w:ascii="Times New Roman" w:hAnsi="Times New Roman" w:cs="Times New Roman"/>
              </w:rPr>
              <w:t>-----</w:t>
            </w:r>
          </w:p>
        </w:tc>
      </w:tr>
    </w:tbl>
    <w:p w14:paraId="1492D0C6" w14:textId="77777777" w:rsidR="006E2AB4" w:rsidRPr="00ED417D" w:rsidRDefault="006E2AB4" w:rsidP="00236DB6">
      <w:pPr>
        <w:spacing w:after="0" w:line="240" w:lineRule="auto"/>
        <w:jc w:val="both"/>
        <w:rPr>
          <w:rFonts w:ascii="Times New Roman" w:hAnsi="Times New Roman" w:cs="Times New Roman"/>
          <w:color w:val="FF0000"/>
          <w:sz w:val="24"/>
          <w:szCs w:val="24"/>
        </w:rPr>
      </w:pPr>
    </w:p>
    <w:p w14:paraId="5F5FE7C3" w14:textId="77777777" w:rsidR="0092346C" w:rsidRPr="000A1801" w:rsidRDefault="0092346C"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jc w:val="both"/>
        <w:rPr>
          <w:rFonts w:ascii="Century" w:hAnsi="Century" w:cs="Times New Roman"/>
          <w:b/>
          <w:sz w:val="24"/>
          <w:szCs w:val="24"/>
        </w:rPr>
      </w:pPr>
      <w:r w:rsidRPr="000A1801">
        <w:rPr>
          <w:rFonts w:ascii="Century" w:hAnsi="Century" w:cs="Times New Roman"/>
          <w:b/>
          <w:sz w:val="24"/>
          <w:szCs w:val="24"/>
        </w:rPr>
        <w:t>Cele i strategie zarządzania rodzajami ryzyka uznanymi przez Bank za istotne</w:t>
      </w:r>
    </w:p>
    <w:p w14:paraId="7D4B07A4" w14:textId="77777777" w:rsidR="0092076D" w:rsidRPr="00ED417D" w:rsidRDefault="0092076D" w:rsidP="00236DB6">
      <w:pPr>
        <w:spacing w:after="0" w:line="240" w:lineRule="auto"/>
        <w:jc w:val="both"/>
        <w:rPr>
          <w:rFonts w:ascii="Times New Roman" w:hAnsi="Times New Roman" w:cs="Times New Roman"/>
          <w:color w:val="FF0000"/>
          <w:sz w:val="24"/>
          <w:szCs w:val="24"/>
        </w:rPr>
      </w:pPr>
    </w:p>
    <w:p w14:paraId="42711CAF" w14:textId="77777777" w:rsidR="00C30259" w:rsidRPr="000A1801" w:rsidRDefault="00C30259" w:rsidP="00533C1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240" w:lineRule="auto"/>
        <w:ind w:left="426" w:hanging="426"/>
        <w:jc w:val="both"/>
        <w:rPr>
          <w:rFonts w:ascii="Times New Roman" w:hAnsi="Times New Roman" w:cs="Times New Roman"/>
          <w:b/>
          <w:sz w:val="24"/>
          <w:szCs w:val="24"/>
        </w:rPr>
      </w:pPr>
      <w:r w:rsidRPr="000A1801">
        <w:rPr>
          <w:rFonts w:ascii="Times New Roman" w:hAnsi="Times New Roman" w:cs="Times New Roman"/>
          <w:b/>
          <w:sz w:val="24"/>
          <w:szCs w:val="24"/>
        </w:rPr>
        <w:t xml:space="preserve">Cele dla istotnych rodzajów ryzyka oraz sposób ich realizacji </w:t>
      </w:r>
    </w:p>
    <w:p w14:paraId="53E6AAD6" w14:textId="77777777" w:rsidR="00C30259" w:rsidRPr="00ED417D" w:rsidRDefault="00C30259" w:rsidP="00C30259">
      <w:pPr>
        <w:spacing w:after="0" w:line="240" w:lineRule="auto"/>
        <w:jc w:val="both"/>
        <w:rPr>
          <w:rFonts w:ascii="Times New Roman" w:hAnsi="Times New Roman" w:cs="Times New Roman"/>
          <w:color w:val="FF0000"/>
          <w:sz w:val="24"/>
          <w:szCs w:val="24"/>
        </w:rPr>
      </w:pPr>
    </w:p>
    <w:p w14:paraId="5334B9B8" w14:textId="5D9C3F5D" w:rsidR="006B19B6" w:rsidRPr="000A1801" w:rsidRDefault="006B19B6" w:rsidP="006B19B6">
      <w:pPr>
        <w:spacing w:after="0"/>
        <w:jc w:val="both"/>
        <w:rPr>
          <w:rFonts w:ascii="Times New Roman" w:hAnsi="Times New Roman"/>
          <w:sz w:val="24"/>
          <w:szCs w:val="24"/>
        </w:rPr>
      </w:pPr>
      <w:r w:rsidRPr="000A1801">
        <w:rPr>
          <w:rFonts w:ascii="Times New Roman" w:hAnsi="Times New Roman"/>
          <w:sz w:val="24"/>
          <w:szCs w:val="24"/>
        </w:rPr>
        <w:t xml:space="preserve">Cele strategiczne w zakresie zarządzania poszczególnymi rodzajami ryzyka Bank zawarł w opracowanej przez Zarząd i przyjętej przez Radę Nadzorczą </w:t>
      </w:r>
      <w:r w:rsidR="001113C9" w:rsidRPr="000A1801">
        <w:rPr>
          <w:rFonts w:ascii="Times New Roman" w:hAnsi="Times New Roman"/>
          <w:sz w:val="24"/>
          <w:szCs w:val="24"/>
        </w:rPr>
        <w:t>„</w:t>
      </w:r>
      <w:r w:rsidRPr="000A1801">
        <w:rPr>
          <w:rFonts w:ascii="Times New Roman" w:hAnsi="Times New Roman"/>
          <w:sz w:val="24"/>
          <w:szCs w:val="24"/>
        </w:rPr>
        <w:t>Strategii zarządzania poszczególnymi rodzajami ryzyka</w:t>
      </w:r>
      <w:r w:rsidR="001113C9" w:rsidRPr="000A1801">
        <w:rPr>
          <w:rFonts w:ascii="Times New Roman" w:hAnsi="Times New Roman"/>
          <w:sz w:val="24"/>
          <w:szCs w:val="24"/>
        </w:rPr>
        <w:t>”</w:t>
      </w:r>
      <w:r w:rsidRPr="000A1801">
        <w:rPr>
          <w:rFonts w:ascii="Times New Roman" w:hAnsi="Times New Roman"/>
          <w:sz w:val="24"/>
          <w:szCs w:val="24"/>
        </w:rPr>
        <w:t xml:space="preserve">. </w:t>
      </w:r>
    </w:p>
    <w:p w14:paraId="28C5A9DA" w14:textId="77777777" w:rsidR="006B19B6" w:rsidRPr="00ED417D" w:rsidRDefault="006B19B6" w:rsidP="006B19B6">
      <w:pPr>
        <w:spacing w:after="0"/>
        <w:jc w:val="both"/>
        <w:rPr>
          <w:rFonts w:ascii="Times New Roman" w:hAnsi="Times New Roman"/>
          <w:color w:val="FF0000"/>
          <w:sz w:val="24"/>
          <w:szCs w:val="24"/>
        </w:rPr>
      </w:pPr>
    </w:p>
    <w:p w14:paraId="4211DA26" w14:textId="77777777" w:rsidR="006B19B6" w:rsidRPr="00ED417D" w:rsidRDefault="006B19B6" w:rsidP="006B19B6">
      <w:pPr>
        <w:spacing w:after="0"/>
        <w:ind w:left="284" w:hanging="284"/>
        <w:jc w:val="both"/>
        <w:rPr>
          <w:rFonts w:ascii="Times New Roman" w:hAnsi="Times New Roman"/>
          <w:b/>
          <w:color w:val="FF0000"/>
          <w:sz w:val="24"/>
          <w:szCs w:val="24"/>
          <w:u w:val="single"/>
        </w:rPr>
      </w:pPr>
      <w:bookmarkStart w:id="0" w:name="_Toc450734993"/>
      <w:r w:rsidRPr="000A1801">
        <w:rPr>
          <w:rFonts w:ascii="Times New Roman" w:hAnsi="Times New Roman"/>
          <w:b/>
          <w:sz w:val="24"/>
          <w:szCs w:val="24"/>
          <w:u w:val="single"/>
        </w:rPr>
        <w:t>Ryzyko kredytowe:</w:t>
      </w:r>
    </w:p>
    <w:p w14:paraId="41EAC85C" w14:textId="77777777" w:rsidR="006B19B6" w:rsidRPr="00ED417D" w:rsidRDefault="006B19B6" w:rsidP="006B19B6">
      <w:pPr>
        <w:spacing w:after="0"/>
        <w:ind w:left="284" w:hanging="284"/>
        <w:jc w:val="both"/>
        <w:rPr>
          <w:rFonts w:ascii="Times New Roman" w:hAnsi="Times New Roman"/>
          <w:b/>
          <w:color w:val="FF0000"/>
          <w:sz w:val="24"/>
          <w:szCs w:val="24"/>
        </w:rPr>
      </w:pPr>
    </w:p>
    <w:p w14:paraId="6715421E" w14:textId="77777777" w:rsidR="006B19B6" w:rsidRPr="000A1801" w:rsidRDefault="006B19B6" w:rsidP="000A1801">
      <w:pPr>
        <w:jc w:val="both"/>
        <w:rPr>
          <w:rFonts w:ascii="Times New Roman" w:hAnsi="Times New Roman"/>
          <w:b/>
          <w:bCs/>
          <w:sz w:val="24"/>
          <w:szCs w:val="24"/>
        </w:rPr>
      </w:pPr>
      <w:r w:rsidRPr="000A1801">
        <w:rPr>
          <w:rFonts w:ascii="Times New Roman" w:hAnsi="Times New Roman"/>
          <w:b/>
          <w:bCs/>
          <w:sz w:val="24"/>
          <w:szCs w:val="24"/>
        </w:rPr>
        <w:t>Celem strategicznym w zakresie działalności kredytowej jest budowa odpowiedniego do posiadanych funduszy własnych bezpiecznego portfela kredytowego oraz portfela inwestycji finansowych, zapewniającego odpowiedni poziom dochodowości.</w:t>
      </w:r>
    </w:p>
    <w:p w14:paraId="668BA4D1" w14:textId="77777777" w:rsidR="006B19B6" w:rsidRPr="000A1801" w:rsidRDefault="006B19B6" w:rsidP="000A1801">
      <w:pPr>
        <w:jc w:val="both"/>
        <w:rPr>
          <w:rFonts w:ascii="Times New Roman" w:hAnsi="Times New Roman"/>
          <w:bCs/>
          <w:sz w:val="24"/>
          <w:szCs w:val="24"/>
        </w:rPr>
      </w:pPr>
      <w:r w:rsidRPr="000A1801">
        <w:rPr>
          <w:rFonts w:ascii="Times New Roman" w:hAnsi="Times New Roman"/>
          <w:bCs/>
          <w:sz w:val="24"/>
          <w:szCs w:val="24"/>
        </w:rPr>
        <w:t>Cel ten jest realizowany poprzez zarządzanie ryzykiem kredytowym obejmujące podstawowe kierunki działań (cele pośrednie):</w:t>
      </w:r>
    </w:p>
    <w:p w14:paraId="163ED32D" w14:textId="77777777" w:rsidR="006B19B6" w:rsidRPr="000A1801" w:rsidRDefault="006B19B6" w:rsidP="000A1801">
      <w:pPr>
        <w:widowControl w:val="0"/>
        <w:numPr>
          <w:ilvl w:val="0"/>
          <w:numId w:val="38"/>
        </w:numPr>
        <w:suppressAutoHyphens/>
        <w:spacing w:after="0"/>
        <w:jc w:val="both"/>
        <w:rPr>
          <w:rFonts w:ascii="Times New Roman" w:hAnsi="Times New Roman"/>
          <w:bCs/>
          <w:sz w:val="24"/>
          <w:szCs w:val="24"/>
        </w:rPr>
      </w:pPr>
      <w:r w:rsidRPr="000A1801">
        <w:rPr>
          <w:rFonts w:ascii="Times New Roman" w:hAnsi="Times New Roman"/>
          <w:bCs/>
          <w:sz w:val="24"/>
          <w:szCs w:val="24"/>
        </w:rPr>
        <w:t>budowa bezpiecznego, zdywersyfikowanego portfela kredytowego,</w:t>
      </w:r>
    </w:p>
    <w:p w14:paraId="03381262" w14:textId="77777777" w:rsidR="006B19B6" w:rsidRPr="000A1801" w:rsidRDefault="006B19B6" w:rsidP="000A1801">
      <w:pPr>
        <w:widowControl w:val="0"/>
        <w:numPr>
          <w:ilvl w:val="0"/>
          <w:numId w:val="38"/>
        </w:numPr>
        <w:suppressAutoHyphens/>
        <w:spacing w:after="0"/>
        <w:jc w:val="both"/>
        <w:rPr>
          <w:rFonts w:ascii="Times New Roman" w:hAnsi="Times New Roman"/>
          <w:bCs/>
          <w:sz w:val="24"/>
          <w:szCs w:val="24"/>
        </w:rPr>
      </w:pPr>
      <w:r w:rsidRPr="000A1801">
        <w:rPr>
          <w:rFonts w:ascii="Times New Roman" w:hAnsi="Times New Roman"/>
          <w:bCs/>
          <w:sz w:val="24"/>
          <w:szCs w:val="24"/>
        </w:rPr>
        <w:t>przeprowadzanie bezpiecznych inwestycji finansowych,</w:t>
      </w:r>
    </w:p>
    <w:p w14:paraId="1925F373" w14:textId="620D5F10" w:rsidR="006B19B6" w:rsidRPr="000A1801" w:rsidRDefault="006B19B6" w:rsidP="000A1801">
      <w:pPr>
        <w:spacing w:after="0"/>
        <w:ind w:left="1069" w:hanging="360"/>
        <w:jc w:val="both"/>
        <w:rPr>
          <w:rFonts w:ascii="Times New Roman" w:hAnsi="Times New Roman"/>
          <w:bCs/>
          <w:sz w:val="24"/>
          <w:szCs w:val="24"/>
        </w:rPr>
      </w:pPr>
      <w:r w:rsidRPr="000A1801">
        <w:rPr>
          <w:rFonts w:ascii="Times New Roman" w:hAnsi="Times New Roman"/>
          <w:bCs/>
          <w:sz w:val="24"/>
          <w:szCs w:val="24"/>
        </w:rPr>
        <w:t>3)</w:t>
      </w:r>
      <w:r w:rsidR="001113C9" w:rsidRPr="000A1801">
        <w:rPr>
          <w:rFonts w:ascii="Times New Roman" w:hAnsi="Times New Roman"/>
          <w:bCs/>
          <w:sz w:val="24"/>
          <w:szCs w:val="24"/>
        </w:rPr>
        <w:tab/>
      </w:r>
      <w:r w:rsidRPr="000A1801">
        <w:rPr>
          <w:rFonts w:ascii="Times New Roman" w:hAnsi="Times New Roman"/>
          <w:bCs/>
          <w:sz w:val="24"/>
          <w:szCs w:val="24"/>
        </w:rPr>
        <w:t>podejmowanie działań zabezpieczających w obszarze ryzyka pojedynczej transakcji oraz ryzyka portfela,</w:t>
      </w:r>
    </w:p>
    <w:p w14:paraId="5FF93EF2" w14:textId="7194FC5A" w:rsidR="006B19B6" w:rsidRPr="000A1801" w:rsidRDefault="006B19B6" w:rsidP="000A1801">
      <w:pPr>
        <w:spacing w:after="0"/>
        <w:ind w:left="1069" w:hanging="360"/>
        <w:jc w:val="both"/>
        <w:rPr>
          <w:rFonts w:ascii="Times New Roman" w:hAnsi="Times New Roman"/>
          <w:bCs/>
          <w:sz w:val="24"/>
          <w:szCs w:val="24"/>
        </w:rPr>
      </w:pPr>
      <w:r w:rsidRPr="000A1801">
        <w:rPr>
          <w:rFonts w:ascii="Times New Roman" w:hAnsi="Times New Roman"/>
          <w:bCs/>
          <w:sz w:val="24"/>
          <w:szCs w:val="24"/>
        </w:rPr>
        <w:t>4)</w:t>
      </w:r>
      <w:r w:rsidR="001113C9" w:rsidRPr="000A1801">
        <w:rPr>
          <w:rFonts w:ascii="Times New Roman" w:hAnsi="Times New Roman"/>
          <w:bCs/>
          <w:sz w:val="24"/>
          <w:szCs w:val="24"/>
        </w:rPr>
        <w:tab/>
      </w:r>
      <w:r w:rsidRPr="000A1801">
        <w:rPr>
          <w:rFonts w:ascii="Times New Roman" w:hAnsi="Times New Roman"/>
          <w:bCs/>
          <w:sz w:val="24"/>
          <w:szCs w:val="24"/>
        </w:rPr>
        <w:t>działania organizacyjno-proceduralne.</w:t>
      </w:r>
    </w:p>
    <w:p w14:paraId="77F0B549" w14:textId="77777777" w:rsidR="006B19B6" w:rsidRPr="00ED417D" w:rsidRDefault="006B19B6" w:rsidP="001113C9">
      <w:pPr>
        <w:ind w:left="1069" w:hanging="360"/>
        <w:rPr>
          <w:rFonts w:ascii="Times New Roman" w:hAnsi="Times New Roman"/>
          <w:b/>
          <w:bCs/>
          <w:color w:val="FF0000"/>
          <w:sz w:val="24"/>
          <w:szCs w:val="24"/>
        </w:rPr>
      </w:pPr>
    </w:p>
    <w:p w14:paraId="224DC6DA" w14:textId="77777777" w:rsidR="000A1801" w:rsidRDefault="000A1801" w:rsidP="006B19B6">
      <w:pPr>
        <w:pStyle w:val="Tekstpodstawowywcity"/>
        <w:ind w:left="360"/>
        <w:jc w:val="both"/>
        <w:rPr>
          <w:rFonts w:ascii="Times New Roman" w:hAnsi="Times New Roman" w:cs="Times New Roman"/>
          <w:sz w:val="24"/>
          <w:szCs w:val="24"/>
        </w:rPr>
      </w:pPr>
    </w:p>
    <w:p w14:paraId="68679685" w14:textId="55EDE3EC" w:rsidR="006B19B6" w:rsidRPr="000A1801" w:rsidRDefault="006B19B6" w:rsidP="006B19B6">
      <w:pPr>
        <w:pStyle w:val="Tekstpodstawowywcity"/>
        <w:ind w:left="360"/>
        <w:jc w:val="both"/>
        <w:rPr>
          <w:rFonts w:ascii="Times New Roman" w:hAnsi="Times New Roman" w:cs="Times New Roman"/>
          <w:sz w:val="24"/>
          <w:szCs w:val="24"/>
        </w:rPr>
      </w:pPr>
      <w:r w:rsidRPr="000A1801">
        <w:rPr>
          <w:rFonts w:ascii="Times New Roman" w:hAnsi="Times New Roman" w:cs="Times New Roman"/>
          <w:sz w:val="24"/>
          <w:szCs w:val="24"/>
        </w:rPr>
        <w:lastRenderedPageBreak/>
        <w:t xml:space="preserve">Ryzyko kredytowe Banku należy rozpatrywać w dwóch aspektach: </w:t>
      </w:r>
    </w:p>
    <w:p w14:paraId="690666D2" w14:textId="77777777" w:rsidR="006B19B6" w:rsidRPr="000A1801" w:rsidRDefault="006B19B6" w:rsidP="001113C9">
      <w:pPr>
        <w:pStyle w:val="Tekstpodstawowywcity"/>
        <w:numPr>
          <w:ilvl w:val="0"/>
          <w:numId w:val="32"/>
        </w:numPr>
        <w:spacing w:after="0"/>
        <w:jc w:val="both"/>
        <w:rPr>
          <w:rFonts w:ascii="Times New Roman" w:hAnsi="Times New Roman" w:cs="Times New Roman"/>
          <w:sz w:val="24"/>
          <w:szCs w:val="24"/>
        </w:rPr>
      </w:pPr>
      <w:r w:rsidRPr="000A1801">
        <w:rPr>
          <w:rFonts w:ascii="Times New Roman" w:hAnsi="Times New Roman" w:cs="Times New Roman"/>
          <w:sz w:val="24"/>
          <w:szCs w:val="24"/>
        </w:rPr>
        <w:t xml:space="preserve">ryzyka pojedynczej transakcji, </w:t>
      </w:r>
    </w:p>
    <w:p w14:paraId="35A385D1" w14:textId="77777777" w:rsidR="006B19B6" w:rsidRPr="000A1801" w:rsidRDefault="006B19B6" w:rsidP="001113C9">
      <w:pPr>
        <w:pStyle w:val="Tekstpodstawowywcity"/>
        <w:numPr>
          <w:ilvl w:val="0"/>
          <w:numId w:val="32"/>
        </w:numPr>
        <w:spacing w:after="0"/>
        <w:jc w:val="both"/>
        <w:rPr>
          <w:rFonts w:ascii="Times New Roman" w:hAnsi="Times New Roman" w:cs="Times New Roman"/>
          <w:sz w:val="24"/>
          <w:szCs w:val="24"/>
        </w:rPr>
      </w:pPr>
      <w:r w:rsidRPr="000A1801">
        <w:rPr>
          <w:rFonts w:ascii="Times New Roman" w:hAnsi="Times New Roman" w:cs="Times New Roman"/>
          <w:sz w:val="24"/>
          <w:szCs w:val="24"/>
        </w:rPr>
        <w:t xml:space="preserve">ryzyka łącznego portfela kredytowego.    </w:t>
      </w:r>
    </w:p>
    <w:p w14:paraId="54B4D160" w14:textId="77777777" w:rsidR="008377FB" w:rsidRPr="00ED417D" w:rsidRDefault="008377FB" w:rsidP="001113C9">
      <w:pPr>
        <w:pStyle w:val="Tekstpodstawowywcity"/>
        <w:jc w:val="both"/>
        <w:rPr>
          <w:rFonts w:ascii="Times New Roman" w:hAnsi="Times New Roman" w:cs="Times New Roman"/>
          <w:color w:val="FF0000"/>
          <w:sz w:val="24"/>
          <w:szCs w:val="24"/>
        </w:rPr>
      </w:pPr>
    </w:p>
    <w:p w14:paraId="1B0C72CA" w14:textId="17DB5767" w:rsidR="006B19B6" w:rsidRPr="00BF347F" w:rsidRDefault="006B19B6" w:rsidP="001113C9">
      <w:pPr>
        <w:pStyle w:val="Tekstpodstawowywcity"/>
        <w:jc w:val="both"/>
        <w:rPr>
          <w:rFonts w:ascii="Times New Roman" w:hAnsi="Times New Roman" w:cs="Times New Roman"/>
          <w:sz w:val="24"/>
          <w:szCs w:val="24"/>
        </w:rPr>
      </w:pPr>
      <w:r w:rsidRPr="00E409E6">
        <w:rPr>
          <w:rFonts w:ascii="Times New Roman" w:hAnsi="Times New Roman" w:cs="Times New Roman"/>
          <w:sz w:val="24"/>
          <w:szCs w:val="24"/>
        </w:rPr>
        <w:t xml:space="preserve">Ryzyko pojedynczej transakcji zależy od wysokości możliwej straty </w:t>
      </w:r>
      <w:r w:rsidRPr="00E409E6">
        <w:rPr>
          <w:rFonts w:ascii="Times New Roman" w:hAnsi="Times New Roman" w:cs="Times New Roman"/>
          <w:sz w:val="24"/>
          <w:szCs w:val="24"/>
        </w:rPr>
        <w:br/>
        <w:t xml:space="preserve">i prawdopodobieństwa jej wystąpienia. Ryzyko łączne portfela kredytowego zależne jest od wysokości pojedynczych kredytów, prawdopodobieństwa ich niespłacenia i współzależności między poszczególnymi kredytami lub kredytobiorcami. Im mniejsza jest ta wzajemna zależność (koncentracja) tym mniejsze jest ryzyko wystąpienia sytuacji, w której czynniki powodujące niespłacenie jednego kredytu będą również wpływały na niespłacenie innych, zwiększając w ten sposób łączne ryzyko kredytowe. Metodą zabezpieczenia się przed nadmiernym ryzykiem w działalności kredytowej jest odpowiednio prowadzone zarządzanie ryzykiem zarówno w odniesieniu do pojedynczego kredytu, jak i łącznego zaangażowania kredytowego. Zarządzanie ryzykiem kredytowym w odniesieniu </w:t>
      </w:r>
      <w:r w:rsidRPr="00BF347F">
        <w:rPr>
          <w:rFonts w:ascii="Times New Roman" w:hAnsi="Times New Roman" w:cs="Times New Roman"/>
          <w:sz w:val="24"/>
          <w:szCs w:val="24"/>
        </w:rPr>
        <w:t>do pojedynczego kredytu polega na:</w:t>
      </w:r>
    </w:p>
    <w:p w14:paraId="479C7A3C" w14:textId="13424457"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B</w:t>
      </w:r>
      <w:r w:rsidR="006B19B6" w:rsidRPr="00BF347F">
        <w:rPr>
          <w:rFonts w:ascii="Times New Roman" w:hAnsi="Times New Roman" w:cs="Times New Roman"/>
          <w:sz w:val="24"/>
          <w:szCs w:val="24"/>
        </w:rPr>
        <w:t xml:space="preserve">adaniu wiarygodności i zdolności kredytowej przed udzieleniem kredytu, </w:t>
      </w:r>
      <w:r w:rsidR="006B19B6" w:rsidRPr="00BF347F">
        <w:rPr>
          <w:rFonts w:ascii="Times New Roman" w:hAnsi="Times New Roman" w:cs="Times New Roman"/>
          <w:sz w:val="24"/>
          <w:szCs w:val="24"/>
        </w:rPr>
        <w:br/>
        <w:t>w oparciu o zweryfikowane pod względem wiarygodności dokumenty, dostarczane przez klientów,</w:t>
      </w:r>
    </w:p>
    <w:p w14:paraId="590A3B3E" w14:textId="0D00A0D0"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W</w:t>
      </w:r>
      <w:r w:rsidR="006B19B6" w:rsidRPr="00BF347F">
        <w:rPr>
          <w:rFonts w:ascii="Times New Roman" w:hAnsi="Times New Roman" w:cs="Times New Roman"/>
          <w:sz w:val="24"/>
          <w:szCs w:val="24"/>
        </w:rPr>
        <w:t>ykorzystaniu w ocenie zdolności kredytowej i zabezpieczeń dostępnych baz danych,</w:t>
      </w:r>
    </w:p>
    <w:p w14:paraId="788FA57E" w14:textId="093A2E5C"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P</w:t>
      </w:r>
      <w:r w:rsidR="006B19B6" w:rsidRPr="00BF347F">
        <w:rPr>
          <w:rFonts w:ascii="Times New Roman" w:hAnsi="Times New Roman" w:cs="Times New Roman"/>
          <w:sz w:val="24"/>
          <w:szCs w:val="24"/>
        </w:rPr>
        <w:t>rawidłowym zabezpieczaniu zwrotności ekspozycji kredytowych, zgodnie z regulacjami wewnętrznymi Banku, gwarantującym zwrotność kredytów,</w:t>
      </w:r>
    </w:p>
    <w:p w14:paraId="39CCC929" w14:textId="671F701F"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B</w:t>
      </w:r>
      <w:r w:rsidR="006B19B6" w:rsidRPr="00BF347F">
        <w:rPr>
          <w:rFonts w:ascii="Times New Roman" w:hAnsi="Times New Roman" w:cs="Times New Roman"/>
          <w:sz w:val="24"/>
          <w:szCs w:val="24"/>
        </w:rPr>
        <w:t>ieżącym monitoringu zabezpieczeń kredytowych, ze szczególnym uwzględnieniem zabezpieczeń hipotecznych w całym okresie kredytowania,</w:t>
      </w:r>
    </w:p>
    <w:p w14:paraId="004E0370" w14:textId="49006EF5"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D</w:t>
      </w:r>
      <w:r w:rsidR="006B19B6" w:rsidRPr="00BF347F">
        <w:rPr>
          <w:rFonts w:ascii="Times New Roman" w:hAnsi="Times New Roman" w:cs="Times New Roman"/>
          <w:sz w:val="24"/>
          <w:szCs w:val="24"/>
        </w:rPr>
        <w:t>okonywaniu okresowych przeglądów ekspozycji kredytowych oraz tworzeniu rezerw celowych,</w:t>
      </w:r>
    </w:p>
    <w:p w14:paraId="4BE6957C" w14:textId="0E9341B1"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P</w:t>
      </w:r>
      <w:r w:rsidR="006B19B6" w:rsidRPr="00BF347F">
        <w:rPr>
          <w:rFonts w:ascii="Times New Roman" w:hAnsi="Times New Roman" w:cs="Times New Roman"/>
          <w:sz w:val="24"/>
          <w:szCs w:val="24"/>
        </w:rPr>
        <w:t xml:space="preserve">rawidłowym prowadzeniu windykacji i nadzoru nad trudnymi kredytami, </w:t>
      </w:r>
    </w:p>
    <w:p w14:paraId="68019FEB" w14:textId="74868A6D" w:rsidR="006B19B6" w:rsidRPr="00BF347F" w:rsidRDefault="00BF347F" w:rsidP="001113C9">
      <w:pPr>
        <w:pStyle w:val="Tekstpodstawowywcity"/>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K</w:t>
      </w:r>
      <w:r w:rsidR="006B19B6" w:rsidRPr="00BF347F">
        <w:rPr>
          <w:rFonts w:ascii="Times New Roman" w:hAnsi="Times New Roman" w:cs="Times New Roman"/>
          <w:sz w:val="24"/>
          <w:szCs w:val="24"/>
        </w:rPr>
        <w:t>ontroli działalności kredytowej.</w:t>
      </w:r>
    </w:p>
    <w:p w14:paraId="2160FBD9" w14:textId="77777777" w:rsidR="006B19B6" w:rsidRPr="00BF347F" w:rsidRDefault="006B19B6" w:rsidP="001113C9">
      <w:pPr>
        <w:pStyle w:val="Tekstpodstawowywcity"/>
        <w:ind w:left="709"/>
        <w:jc w:val="both"/>
        <w:rPr>
          <w:rFonts w:ascii="Times New Roman" w:hAnsi="Times New Roman" w:cs="Times New Roman"/>
          <w:sz w:val="24"/>
          <w:szCs w:val="24"/>
        </w:rPr>
      </w:pPr>
    </w:p>
    <w:p w14:paraId="20AA88E1" w14:textId="77777777" w:rsidR="006B19B6" w:rsidRPr="00BF347F" w:rsidRDefault="006B19B6" w:rsidP="006B19B6">
      <w:pPr>
        <w:spacing w:after="0"/>
        <w:jc w:val="both"/>
        <w:rPr>
          <w:rFonts w:ascii="Times New Roman" w:hAnsi="Times New Roman"/>
          <w:sz w:val="24"/>
          <w:szCs w:val="24"/>
        </w:rPr>
      </w:pPr>
      <w:r w:rsidRPr="00BF347F">
        <w:rPr>
          <w:rFonts w:ascii="Times New Roman" w:hAnsi="Times New Roman"/>
          <w:sz w:val="24"/>
          <w:szCs w:val="24"/>
        </w:rPr>
        <w:t xml:space="preserve">Zasady zarządzania ryzykiem kredytowym w odniesieniu do pojedynczej transakcji kredytowej obejmują procedury, praktyki, mechanizmy kontroli wewnętrznej składające się na metodykę oceny ryzyka kredytowego przed udzieleniem kredytu oraz w trakcie trwania umowy kredytowej. </w:t>
      </w:r>
    </w:p>
    <w:p w14:paraId="4951D96F" w14:textId="77777777" w:rsidR="006B19B6" w:rsidRPr="00BF347F" w:rsidRDefault="006B19B6" w:rsidP="006B19B6">
      <w:pPr>
        <w:spacing w:after="0"/>
        <w:jc w:val="both"/>
        <w:rPr>
          <w:rFonts w:ascii="Times New Roman" w:hAnsi="Times New Roman"/>
          <w:sz w:val="24"/>
          <w:szCs w:val="24"/>
        </w:rPr>
      </w:pPr>
      <w:r w:rsidRPr="00BF347F">
        <w:rPr>
          <w:rFonts w:ascii="Times New Roman" w:hAnsi="Times New Roman"/>
          <w:sz w:val="24"/>
          <w:szCs w:val="24"/>
        </w:rPr>
        <w:t>Stosowane w Banku metodyki oceny zdolności kredytowej określają regulaminy, instrukcje, procedury oraz inne regulacje kredytowe zapewniające standaryzację świadczonych usług oraz ograniczające ryzyko kredytowe.</w:t>
      </w:r>
    </w:p>
    <w:p w14:paraId="640F4BEB" w14:textId="4D7665B0" w:rsidR="006B19B6" w:rsidRPr="00BF347F" w:rsidRDefault="006B19B6" w:rsidP="006B19B6">
      <w:pPr>
        <w:spacing w:after="0"/>
        <w:jc w:val="both"/>
        <w:rPr>
          <w:rFonts w:ascii="Times New Roman" w:hAnsi="Times New Roman"/>
          <w:sz w:val="24"/>
          <w:szCs w:val="24"/>
        </w:rPr>
      </w:pPr>
      <w:r w:rsidRPr="00BF347F">
        <w:rPr>
          <w:rFonts w:ascii="Times New Roman" w:hAnsi="Times New Roman"/>
          <w:sz w:val="24"/>
          <w:szCs w:val="24"/>
        </w:rPr>
        <w:t xml:space="preserve">W stosunku do ekspozycji kredytowych zaliczanych do klasy ekspozycji detalicznych zgodnie z Rozporządzeniem CRR, Bank stosuje ujednolicone zasady oceny zdolności kredytowej, dostosowane do ich charakterystyki ryzyka, określone w Instrukcji </w:t>
      </w:r>
      <w:r w:rsidR="00BF347F">
        <w:rPr>
          <w:rFonts w:ascii="Times New Roman" w:hAnsi="Times New Roman"/>
          <w:sz w:val="24"/>
          <w:szCs w:val="24"/>
        </w:rPr>
        <w:t>„</w:t>
      </w:r>
      <w:r w:rsidRPr="00BF347F">
        <w:rPr>
          <w:rFonts w:ascii="Times New Roman" w:hAnsi="Times New Roman"/>
          <w:sz w:val="24"/>
          <w:szCs w:val="24"/>
        </w:rPr>
        <w:t>Metodyka oceny zdolności kredytowej osób fizycznych”</w:t>
      </w:r>
      <w:r w:rsidR="00BF347F">
        <w:rPr>
          <w:rFonts w:ascii="Times New Roman" w:hAnsi="Times New Roman"/>
          <w:sz w:val="24"/>
          <w:szCs w:val="24"/>
        </w:rPr>
        <w:t xml:space="preserve"> oraz zarzadzanie portfelowe.</w:t>
      </w:r>
    </w:p>
    <w:p w14:paraId="39E052FC" w14:textId="77777777" w:rsidR="006B19B6" w:rsidRPr="00BF347F" w:rsidRDefault="006B19B6" w:rsidP="006B19B6">
      <w:pPr>
        <w:spacing w:after="0"/>
        <w:jc w:val="both"/>
        <w:rPr>
          <w:rFonts w:ascii="Times New Roman" w:hAnsi="Times New Roman"/>
          <w:sz w:val="24"/>
          <w:szCs w:val="24"/>
        </w:rPr>
      </w:pPr>
      <w:r w:rsidRPr="00BF347F">
        <w:rPr>
          <w:rFonts w:ascii="Times New Roman" w:hAnsi="Times New Roman"/>
          <w:sz w:val="24"/>
          <w:szCs w:val="24"/>
        </w:rPr>
        <w:t>W stosunku do ekspozycji kredytowych zaliczanych do klasy ekspozycji wobec przedsiębiorców obok przyjętych metod oceny zdolności kredytowej, można stosować indywidualne zasady zarządzania.</w:t>
      </w:r>
    </w:p>
    <w:p w14:paraId="6DDC5480" w14:textId="38E77557" w:rsidR="006B19B6" w:rsidRPr="00BF347F" w:rsidRDefault="006B19B6" w:rsidP="006B19B6">
      <w:pPr>
        <w:spacing w:after="0"/>
        <w:jc w:val="both"/>
        <w:rPr>
          <w:rFonts w:ascii="Times New Roman" w:hAnsi="Times New Roman"/>
          <w:sz w:val="24"/>
          <w:szCs w:val="24"/>
        </w:rPr>
      </w:pPr>
      <w:r w:rsidRPr="00BF347F">
        <w:rPr>
          <w:rFonts w:ascii="Times New Roman" w:hAnsi="Times New Roman"/>
          <w:sz w:val="24"/>
          <w:szCs w:val="24"/>
        </w:rPr>
        <w:lastRenderedPageBreak/>
        <w:t>Zabezpieczenia transakcji kredytowych dokonywane są w stopniu adekwatnym do oceny sytuacji ekonomicznej klienta oraz charakteru i okresu trwania transakcji, z zastosowaniem zasad ustanawiania prawnych form zabezpieczenia wierzytelności. Bank udziela kredyty konsumenckie i zawiera z kredytobiorcami umowy o kredyty konsumenckie z zachowaniem zasad określonych w Ustawie o kredycie konsumenckim.</w:t>
      </w:r>
      <w:r w:rsidR="001929C7" w:rsidRPr="00ED417D">
        <w:rPr>
          <w:rFonts w:ascii="Times New Roman" w:hAnsi="Times New Roman"/>
          <w:color w:val="FF0000"/>
          <w:sz w:val="24"/>
          <w:szCs w:val="24"/>
        </w:rPr>
        <w:t xml:space="preserve"> </w:t>
      </w:r>
      <w:r w:rsidRPr="00BF347F">
        <w:rPr>
          <w:rFonts w:ascii="Times New Roman" w:hAnsi="Times New Roman"/>
          <w:sz w:val="24"/>
          <w:szCs w:val="24"/>
        </w:rPr>
        <w:t xml:space="preserve">W przypadku udzielania kredytów klientom detalicznym (w rozumieniu rekomendacji T i S) Bank ustala wymagany poziom wskaźnika DtI opisany w metodyce oceny zdolności kredytowej, uwzględniający minimum egzystencji. </w:t>
      </w:r>
    </w:p>
    <w:p w14:paraId="38A2B33A" w14:textId="77777777" w:rsidR="006B19B6" w:rsidRPr="002F2312" w:rsidRDefault="006B19B6" w:rsidP="006B19B6">
      <w:pPr>
        <w:spacing w:after="0"/>
        <w:jc w:val="both"/>
        <w:rPr>
          <w:rFonts w:ascii="Times New Roman" w:hAnsi="Times New Roman"/>
          <w:sz w:val="24"/>
          <w:szCs w:val="24"/>
        </w:rPr>
      </w:pPr>
      <w:r w:rsidRPr="002F2312">
        <w:rPr>
          <w:rFonts w:ascii="Times New Roman" w:hAnsi="Times New Roman"/>
          <w:sz w:val="24"/>
          <w:szCs w:val="24"/>
        </w:rPr>
        <w:t>W Banku prowadzony jest systematyczny monitoring sytuacji ekonomicznej kredytobiorców oraz zabezpieczeń, zgodnie z wewnętrznymi regulacjami Banku. Narzędziem monitoringu są arkusze analityczne.</w:t>
      </w:r>
    </w:p>
    <w:p w14:paraId="54C2944E" w14:textId="4FEABA52" w:rsidR="006B19B6" w:rsidRPr="002F2312" w:rsidRDefault="006B19B6" w:rsidP="006B19B6">
      <w:pPr>
        <w:spacing w:after="0"/>
        <w:jc w:val="both"/>
        <w:rPr>
          <w:rFonts w:ascii="Times New Roman" w:hAnsi="Times New Roman"/>
          <w:sz w:val="24"/>
          <w:szCs w:val="24"/>
        </w:rPr>
      </w:pPr>
      <w:r w:rsidRPr="002F2312">
        <w:rPr>
          <w:rFonts w:ascii="Times New Roman" w:hAnsi="Times New Roman"/>
          <w:sz w:val="24"/>
          <w:szCs w:val="24"/>
        </w:rPr>
        <w:t xml:space="preserve">Bank dokonuje wyceny i aktualizacji aktywów i zobowiązań pozabilansowych oraz tworzy rezerwy na ryzyko związane z działalnością banku zgodnie z obowiązującymi ustawami </w:t>
      </w:r>
      <w:r w:rsidR="006F5A70" w:rsidRPr="002F2312">
        <w:rPr>
          <w:rFonts w:ascii="Times New Roman" w:hAnsi="Times New Roman"/>
          <w:sz w:val="24"/>
          <w:szCs w:val="24"/>
        </w:rPr>
        <w:br/>
      </w:r>
      <w:r w:rsidRPr="002F2312">
        <w:rPr>
          <w:rFonts w:ascii="Times New Roman" w:hAnsi="Times New Roman"/>
          <w:sz w:val="24"/>
          <w:szCs w:val="24"/>
        </w:rPr>
        <w:t>i rozporządzeniami oraz z „Instrukcją monitoringu klientów instytucjonalnych i detalicznych”, „Instrukcją monitoringu zabezpieczeń” i „Instrukcją zasad klasyfikacji ekspozycji kredytowych i tworzenia rezerw celowych" obowiązującymi w Banku.</w:t>
      </w:r>
    </w:p>
    <w:p w14:paraId="47C0652E" w14:textId="77777777" w:rsidR="006B19B6" w:rsidRPr="002F2312" w:rsidRDefault="006B19B6" w:rsidP="006B19B6">
      <w:pPr>
        <w:spacing w:after="0"/>
        <w:jc w:val="both"/>
        <w:rPr>
          <w:rFonts w:ascii="Times New Roman" w:hAnsi="Times New Roman"/>
          <w:sz w:val="24"/>
          <w:szCs w:val="24"/>
        </w:rPr>
      </w:pPr>
      <w:r w:rsidRPr="002F2312">
        <w:rPr>
          <w:rFonts w:ascii="Times New Roman" w:hAnsi="Times New Roman"/>
          <w:sz w:val="24"/>
          <w:szCs w:val="24"/>
        </w:rPr>
        <w:t xml:space="preserve">Zasady bezpiecznego zarządzania ryzykiem kredytowym w odniesieniu do łącznego zaangażowania kredytowego Banku obejmują działania polegające na: </w:t>
      </w:r>
    </w:p>
    <w:p w14:paraId="3AF65E51" w14:textId="77777777" w:rsidR="006B19B6" w:rsidRPr="002F2312" w:rsidRDefault="006B19B6" w:rsidP="006F5A70">
      <w:pPr>
        <w:numPr>
          <w:ilvl w:val="0"/>
          <w:numId w:val="48"/>
        </w:numPr>
        <w:spacing w:after="0"/>
        <w:ind w:left="993" w:hanging="426"/>
        <w:rPr>
          <w:rFonts w:ascii="Times New Roman" w:hAnsi="Times New Roman"/>
          <w:sz w:val="24"/>
          <w:szCs w:val="24"/>
        </w:rPr>
      </w:pPr>
      <w:r w:rsidRPr="002F2312">
        <w:rPr>
          <w:rFonts w:ascii="Times New Roman" w:hAnsi="Times New Roman"/>
          <w:sz w:val="24"/>
          <w:szCs w:val="24"/>
        </w:rPr>
        <w:t>dywersyfikacji ryzyka poprzez stosowanie limitów koncentracji,</w:t>
      </w:r>
    </w:p>
    <w:p w14:paraId="188D23A4" w14:textId="77777777" w:rsidR="006B19B6" w:rsidRPr="002F2312" w:rsidRDefault="006B19B6" w:rsidP="006F5A70">
      <w:pPr>
        <w:numPr>
          <w:ilvl w:val="0"/>
          <w:numId w:val="48"/>
        </w:numPr>
        <w:spacing w:after="0"/>
        <w:ind w:left="993" w:hanging="426"/>
        <w:rPr>
          <w:rFonts w:ascii="Times New Roman" w:hAnsi="Times New Roman"/>
          <w:sz w:val="24"/>
          <w:szCs w:val="24"/>
        </w:rPr>
      </w:pPr>
      <w:r w:rsidRPr="002F2312">
        <w:rPr>
          <w:rFonts w:ascii="Times New Roman" w:hAnsi="Times New Roman"/>
          <w:sz w:val="24"/>
          <w:szCs w:val="24"/>
        </w:rPr>
        <w:t>stosowanie limitów dotyczących rodzajów kredytów,</w:t>
      </w:r>
    </w:p>
    <w:p w14:paraId="799D18BA" w14:textId="77777777" w:rsidR="006B19B6" w:rsidRPr="002F2312" w:rsidRDefault="006B19B6" w:rsidP="006F5A70">
      <w:pPr>
        <w:numPr>
          <w:ilvl w:val="0"/>
          <w:numId w:val="48"/>
        </w:numPr>
        <w:spacing w:after="0"/>
        <w:ind w:left="993" w:hanging="426"/>
        <w:rPr>
          <w:rFonts w:ascii="Times New Roman" w:hAnsi="Times New Roman"/>
          <w:sz w:val="24"/>
          <w:szCs w:val="24"/>
        </w:rPr>
      </w:pPr>
      <w:r w:rsidRPr="002F2312">
        <w:rPr>
          <w:rFonts w:ascii="Times New Roman" w:hAnsi="Times New Roman"/>
          <w:sz w:val="24"/>
          <w:szCs w:val="24"/>
        </w:rPr>
        <w:t xml:space="preserve"> analizie ryzyka ekspozycji zabezpieczonych hipotecznie, </w:t>
      </w:r>
    </w:p>
    <w:p w14:paraId="1ACA82B8" w14:textId="77777777" w:rsidR="006B19B6" w:rsidRPr="002F2312" w:rsidRDefault="006B19B6" w:rsidP="006F5A70">
      <w:pPr>
        <w:numPr>
          <w:ilvl w:val="0"/>
          <w:numId w:val="48"/>
        </w:numPr>
        <w:spacing w:after="0"/>
        <w:ind w:left="993" w:hanging="426"/>
        <w:rPr>
          <w:rFonts w:ascii="Times New Roman" w:hAnsi="Times New Roman"/>
          <w:sz w:val="24"/>
          <w:szCs w:val="24"/>
        </w:rPr>
      </w:pPr>
      <w:r w:rsidRPr="002F2312">
        <w:rPr>
          <w:rFonts w:ascii="Times New Roman" w:hAnsi="Times New Roman"/>
          <w:sz w:val="24"/>
          <w:szCs w:val="24"/>
        </w:rPr>
        <w:t xml:space="preserve">badaniu ekspozycji zagrożonych, </w:t>
      </w:r>
    </w:p>
    <w:p w14:paraId="66059D17" w14:textId="77777777" w:rsidR="006B19B6" w:rsidRPr="002F2312" w:rsidRDefault="006B19B6" w:rsidP="006F5A70">
      <w:pPr>
        <w:numPr>
          <w:ilvl w:val="0"/>
          <w:numId w:val="48"/>
        </w:numPr>
        <w:spacing w:after="0"/>
        <w:ind w:left="993" w:hanging="426"/>
        <w:rPr>
          <w:rFonts w:ascii="Times New Roman" w:hAnsi="Times New Roman"/>
          <w:sz w:val="24"/>
          <w:szCs w:val="24"/>
        </w:rPr>
      </w:pPr>
      <w:r w:rsidRPr="002F2312">
        <w:rPr>
          <w:rFonts w:ascii="Times New Roman" w:hAnsi="Times New Roman"/>
          <w:sz w:val="24"/>
          <w:szCs w:val="24"/>
        </w:rPr>
        <w:t xml:space="preserve">przedsięwzięciach organizacyjno- kadrowych. </w:t>
      </w:r>
    </w:p>
    <w:p w14:paraId="006869CE" w14:textId="77777777" w:rsidR="006B19B6" w:rsidRPr="002F2312" w:rsidRDefault="006B19B6" w:rsidP="006B19B6">
      <w:pPr>
        <w:spacing w:after="0"/>
        <w:jc w:val="both"/>
        <w:rPr>
          <w:rFonts w:ascii="Times New Roman" w:hAnsi="Times New Roman"/>
          <w:sz w:val="24"/>
          <w:szCs w:val="24"/>
        </w:rPr>
      </w:pPr>
      <w:r w:rsidRPr="002F2312">
        <w:rPr>
          <w:rFonts w:ascii="Times New Roman" w:hAnsi="Times New Roman"/>
          <w:sz w:val="24"/>
          <w:szCs w:val="24"/>
        </w:rPr>
        <w:t xml:space="preserve">Podstawowa analiza ryzyka kredytowego jest przeprowadzana co najmniej raz </w:t>
      </w:r>
      <w:r w:rsidRPr="002F2312">
        <w:rPr>
          <w:rFonts w:ascii="Times New Roman" w:hAnsi="Times New Roman"/>
          <w:sz w:val="24"/>
          <w:szCs w:val="24"/>
        </w:rPr>
        <w:br/>
        <w:t xml:space="preserve">w miesiącu, po zakończeniu miesiąca wraz z analizą ogólnego poziomu ryzyka, </w:t>
      </w:r>
      <w:r w:rsidRPr="002F2312">
        <w:rPr>
          <w:rFonts w:ascii="Times New Roman" w:hAnsi="Times New Roman"/>
          <w:sz w:val="24"/>
          <w:szCs w:val="24"/>
        </w:rPr>
        <w:br/>
        <w:t>w odniesieniu do realizacji planu podstawowych wskaźników charakteryzujących ryzyko. Miesięcznej analizie poddawane są w szczególności takie elementy jak: struktura portfela kredytowego, struktura i dynamika kredytów zagrożonych, wynik z tytułu rezerw celowych.</w:t>
      </w:r>
    </w:p>
    <w:p w14:paraId="40AFAD46" w14:textId="77777777" w:rsidR="006B19B6" w:rsidRPr="002F2312" w:rsidRDefault="006B19B6" w:rsidP="006B19B6">
      <w:pPr>
        <w:spacing w:after="0"/>
        <w:jc w:val="both"/>
        <w:rPr>
          <w:rFonts w:ascii="Times New Roman" w:hAnsi="Times New Roman"/>
          <w:sz w:val="24"/>
          <w:szCs w:val="24"/>
        </w:rPr>
      </w:pPr>
    </w:p>
    <w:p w14:paraId="2E971B11" w14:textId="32D8965E" w:rsidR="006B19B6" w:rsidRPr="00004950" w:rsidRDefault="006B19B6" w:rsidP="006B19B6">
      <w:pPr>
        <w:spacing w:after="0"/>
        <w:jc w:val="both"/>
        <w:rPr>
          <w:rFonts w:ascii="Times New Roman" w:hAnsi="Times New Roman"/>
          <w:sz w:val="24"/>
          <w:szCs w:val="24"/>
        </w:rPr>
      </w:pPr>
      <w:r w:rsidRPr="00004950">
        <w:rPr>
          <w:rFonts w:ascii="Times New Roman" w:hAnsi="Times New Roman"/>
          <w:sz w:val="24"/>
          <w:szCs w:val="24"/>
        </w:rPr>
        <w:t xml:space="preserve">W Banku dokonuje się pomiaru i oceny ryzyka portfela kredytowego i profilu ryzyka kredytowego w cyklach </w:t>
      </w:r>
      <w:r w:rsidR="002F2312" w:rsidRPr="00004950">
        <w:rPr>
          <w:rFonts w:ascii="Times New Roman" w:hAnsi="Times New Roman"/>
          <w:sz w:val="24"/>
          <w:szCs w:val="24"/>
        </w:rPr>
        <w:t>miesięcznych</w:t>
      </w:r>
      <w:r w:rsidRPr="00004950">
        <w:rPr>
          <w:rFonts w:ascii="Times New Roman" w:hAnsi="Times New Roman"/>
          <w:sz w:val="24"/>
          <w:szCs w:val="24"/>
        </w:rPr>
        <w:t xml:space="preserve">, na podstawie raportów sporządzonych przez </w:t>
      </w:r>
      <w:r w:rsidR="006F5A70" w:rsidRPr="00004950">
        <w:rPr>
          <w:rFonts w:ascii="Times New Roman" w:hAnsi="Times New Roman"/>
          <w:sz w:val="24"/>
          <w:szCs w:val="24"/>
        </w:rPr>
        <w:t>Stanowisko</w:t>
      </w:r>
      <w:r w:rsidRPr="00004950">
        <w:rPr>
          <w:rFonts w:ascii="Times New Roman" w:hAnsi="Times New Roman"/>
          <w:sz w:val="24"/>
          <w:szCs w:val="24"/>
        </w:rPr>
        <w:t xml:space="preserve"> Zarządzania Ryzykami i Analiz. Raporty dotyczące: koncentracji branżowej, adekwatności kapitałowej, ekspozycji przeterminowanych, koncentracji zabezpieczeń, kredytów zabezpieczonych hipotecznie i  analizę detalicznych ekspozycji zawierają zastawienia liczbowe oraz ich interpretację z rekomendacją dalszych działań. Analiza miesięczna i kwartalna opracowywana jest i przedkładana Zarządowi oraz Radzie Nadzorczej Banku, zgodnie z obowiązującą w Banku Instrukcją sporządzania informacji zarządczej.</w:t>
      </w:r>
    </w:p>
    <w:p w14:paraId="75F62BB9" w14:textId="77777777" w:rsidR="006B19B6" w:rsidRPr="00004950" w:rsidRDefault="006B19B6" w:rsidP="006B19B6">
      <w:pPr>
        <w:spacing w:after="0"/>
        <w:jc w:val="both"/>
        <w:rPr>
          <w:rFonts w:ascii="Times New Roman" w:hAnsi="Times New Roman"/>
          <w:sz w:val="24"/>
          <w:szCs w:val="24"/>
        </w:rPr>
      </w:pPr>
      <w:r w:rsidRPr="00004950">
        <w:rPr>
          <w:rFonts w:ascii="Times New Roman" w:hAnsi="Times New Roman"/>
          <w:sz w:val="24"/>
          <w:szCs w:val="24"/>
        </w:rPr>
        <w:t>Dane analityczne stanowiące źródło analizy ryzyka portfela kredytowego pobierane są z systemu operacyjnego oraz innych systemów wspomagających. Każdorazowo po zaimportowaniu danych do systemu informatycznego i wygenerowaniu raportów, przeprowadzana jest kontrola ich zgodności ze sprawozdawczością Banku za analizowany okres oraz kontrola spójności z poprzednimi okresami sprawozdawczymi.</w:t>
      </w:r>
    </w:p>
    <w:p w14:paraId="7FF83C28" w14:textId="77777777" w:rsidR="006B19B6" w:rsidRPr="00004950" w:rsidRDefault="006B19B6" w:rsidP="006B19B6">
      <w:pPr>
        <w:spacing w:after="0"/>
        <w:jc w:val="both"/>
        <w:rPr>
          <w:rFonts w:ascii="Times New Roman" w:hAnsi="Times New Roman"/>
          <w:sz w:val="24"/>
          <w:szCs w:val="24"/>
        </w:rPr>
      </w:pPr>
      <w:r w:rsidRPr="00004950">
        <w:rPr>
          <w:rFonts w:ascii="Times New Roman" w:hAnsi="Times New Roman"/>
          <w:sz w:val="24"/>
          <w:szCs w:val="24"/>
        </w:rPr>
        <w:t>Badanie ryzyka łącznego portfela kredytowego Banku obejmuje:</w:t>
      </w:r>
    </w:p>
    <w:p w14:paraId="7128D6B8" w14:textId="77777777" w:rsidR="006B19B6" w:rsidRPr="00004950" w:rsidRDefault="006B19B6" w:rsidP="006F5A70">
      <w:pPr>
        <w:numPr>
          <w:ilvl w:val="0"/>
          <w:numId w:val="49"/>
        </w:numPr>
        <w:tabs>
          <w:tab w:val="clear" w:pos="360"/>
          <w:tab w:val="num" w:pos="851"/>
        </w:tabs>
        <w:spacing w:after="0"/>
        <w:ind w:left="851" w:hanging="425"/>
        <w:jc w:val="both"/>
        <w:rPr>
          <w:rFonts w:ascii="Times New Roman" w:hAnsi="Times New Roman"/>
          <w:sz w:val="24"/>
          <w:szCs w:val="24"/>
        </w:rPr>
      </w:pPr>
      <w:r w:rsidRPr="00004950">
        <w:rPr>
          <w:rFonts w:ascii="Times New Roman" w:hAnsi="Times New Roman"/>
          <w:sz w:val="24"/>
          <w:szCs w:val="24"/>
        </w:rPr>
        <w:t>analizę ilościową i wartościową portfela,</w:t>
      </w:r>
    </w:p>
    <w:p w14:paraId="46C24B5A" w14:textId="77777777" w:rsidR="006B19B6" w:rsidRPr="00004950" w:rsidRDefault="006B19B6" w:rsidP="006F5A70">
      <w:pPr>
        <w:numPr>
          <w:ilvl w:val="0"/>
          <w:numId w:val="49"/>
        </w:numPr>
        <w:tabs>
          <w:tab w:val="clear" w:pos="360"/>
          <w:tab w:val="num" w:pos="851"/>
        </w:tabs>
        <w:spacing w:after="0"/>
        <w:ind w:left="851" w:hanging="425"/>
        <w:jc w:val="both"/>
        <w:rPr>
          <w:rFonts w:ascii="Times New Roman" w:hAnsi="Times New Roman"/>
          <w:sz w:val="24"/>
          <w:szCs w:val="24"/>
        </w:rPr>
      </w:pPr>
      <w:r w:rsidRPr="00004950">
        <w:rPr>
          <w:rFonts w:ascii="Times New Roman" w:hAnsi="Times New Roman"/>
          <w:sz w:val="24"/>
          <w:szCs w:val="24"/>
        </w:rPr>
        <w:lastRenderedPageBreak/>
        <w:t>analizę wskaźnikową,</w:t>
      </w:r>
    </w:p>
    <w:p w14:paraId="26D194F0" w14:textId="77777777" w:rsidR="006B19B6" w:rsidRPr="00004950" w:rsidRDefault="006B19B6" w:rsidP="006F5A70">
      <w:pPr>
        <w:numPr>
          <w:ilvl w:val="0"/>
          <w:numId w:val="49"/>
        </w:numPr>
        <w:tabs>
          <w:tab w:val="clear" w:pos="360"/>
          <w:tab w:val="num" w:pos="851"/>
        </w:tabs>
        <w:spacing w:after="0"/>
        <w:ind w:left="851" w:hanging="425"/>
        <w:jc w:val="both"/>
        <w:rPr>
          <w:rFonts w:ascii="Times New Roman" w:hAnsi="Times New Roman"/>
          <w:sz w:val="24"/>
          <w:szCs w:val="24"/>
        </w:rPr>
      </w:pPr>
      <w:r w:rsidRPr="00004950">
        <w:rPr>
          <w:rFonts w:ascii="Times New Roman" w:hAnsi="Times New Roman"/>
          <w:sz w:val="24"/>
          <w:szCs w:val="24"/>
        </w:rPr>
        <w:t>ocenę realizacji limitów koncentracji,</w:t>
      </w:r>
    </w:p>
    <w:p w14:paraId="514B7B7A" w14:textId="77777777" w:rsidR="006B19B6" w:rsidRPr="00004950" w:rsidRDefault="006B19B6" w:rsidP="006F5A70">
      <w:pPr>
        <w:numPr>
          <w:ilvl w:val="0"/>
          <w:numId w:val="49"/>
        </w:numPr>
        <w:tabs>
          <w:tab w:val="clear" w:pos="360"/>
          <w:tab w:val="num" w:pos="851"/>
        </w:tabs>
        <w:spacing w:after="0"/>
        <w:ind w:left="851" w:hanging="425"/>
        <w:jc w:val="both"/>
        <w:rPr>
          <w:rFonts w:ascii="Times New Roman" w:hAnsi="Times New Roman"/>
          <w:sz w:val="24"/>
          <w:szCs w:val="24"/>
        </w:rPr>
      </w:pPr>
      <w:r w:rsidRPr="00004950">
        <w:rPr>
          <w:rFonts w:ascii="Times New Roman" w:hAnsi="Times New Roman"/>
          <w:sz w:val="24"/>
          <w:szCs w:val="24"/>
        </w:rPr>
        <w:t xml:space="preserve">analizę jakościową portfela, </w:t>
      </w:r>
    </w:p>
    <w:p w14:paraId="57CCCB50" w14:textId="77777777" w:rsidR="006B19B6" w:rsidRPr="00004950" w:rsidRDefault="006B19B6" w:rsidP="006F5A70">
      <w:pPr>
        <w:numPr>
          <w:ilvl w:val="0"/>
          <w:numId w:val="49"/>
        </w:numPr>
        <w:tabs>
          <w:tab w:val="clear" w:pos="360"/>
          <w:tab w:val="num" w:pos="851"/>
        </w:tabs>
        <w:spacing w:after="0"/>
        <w:ind w:left="851" w:hanging="425"/>
        <w:jc w:val="both"/>
        <w:rPr>
          <w:rFonts w:ascii="Times New Roman" w:hAnsi="Times New Roman"/>
          <w:sz w:val="24"/>
          <w:szCs w:val="24"/>
        </w:rPr>
      </w:pPr>
      <w:r w:rsidRPr="00004950">
        <w:rPr>
          <w:rFonts w:ascii="Times New Roman" w:hAnsi="Times New Roman"/>
          <w:sz w:val="24"/>
          <w:szCs w:val="24"/>
        </w:rPr>
        <w:t>analizę wrażliwości na wystąpienie sytuacji skrajnej.</w:t>
      </w:r>
    </w:p>
    <w:p w14:paraId="66A0ADA7" w14:textId="3B2CF178" w:rsidR="006B19B6" w:rsidRPr="00E12233" w:rsidRDefault="006B19B6" w:rsidP="006B19B6">
      <w:pPr>
        <w:spacing w:after="0"/>
        <w:jc w:val="both"/>
        <w:rPr>
          <w:rFonts w:ascii="Times New Roman" w:hAnsi="Times New Roman"/>
          <w:sz w:val="24"/>
          <w:szCs w:val="24"/>
        </w:rPr>
      </w:pPr>
      <w:r w:rsidRPr="00004950">
        <w:rPr>
          <w:rFonts w:ascii="Times New Roman" w:hAnsi="Times New Roman"/>
          <w:sz w:val="24"/>
          <w:szCs w:val="24"/>
        </w:rPr>
        <w:t>W celu dywersyfikacji ryzyka kredytowego</w:t>
      </w:r>
      <w:r w:rsidR="00004950" w:rsidRPr="00004950">
        <w:rPr>
          <w:rFonts w:ascii="Times New Roman" w:hAnsi="Times New Roman"/>
          <w:sz w:val="24"/>
          <w:szCs w:val="24"/>
        </w:rPr>
        <w:t>, w tym ryzyka koncentracji</w:t>
      </w:r>
      <w:r w:rsidRPr="00004950">
        <w:rPr>
          <w:rFonts w:ascii="Times New Roman" w:hAnsi="Times New Roman"/>
          <w:sz w:val="24"/>
          <w:szCs w:val="24"/>
        </w:rPr>
        <w:t xml:space="preserve"> Bank wprowadza odpowiednie do skali i złożoności działalności limity wewnętrzne ograniczające jego poziom. </w:t>
      </w:r>
      <w:r w:rsidRPr="00E12233">
        <w:rPr>
          <w:rFonts w:ascii="Times New Roman" w:hAnsi="Times New Roman"/>
          <w:sz w:val="24"/>
          <w:szCs w:val="24"/>
        </w:rPr>
        <w:t xml:space="preserve">Przyjęte rodzaje limitów wewnętrznych oraz ich wysokość zatwierdza Zarząd Banku na podstawie propozycji </w:t>
      </w:r>
      <w:r w:rsidR="006F5A70" w:rsidRPr="00E12233">
        <w:rPr>
          <w:rFonts w:ascii="Times New Roman" w:hAnsi="Times New Roman"/>
          <w:sz w:val="24"/>
          <w:szCs w:val="24"/>
        </w:rPr>
        <w:t xml:space="preserve">Stanowiska </w:t>
      </w:r>
      <w:r w:rsidRPr="00E12233">
        <w:rPr>
          <w:rFonts w:ascii="Times New Roman" w:hAnsi="Times New Roman"/>
          <w:sz w:val="24"/>
          <w:szCs w:val="24"/>
        </w:rPr>
        <w:t>Zarządzania Ryzykami i Analiz. Wysokość limitów jest dostosowana do akceptowanego przez Radę Nadzorczą ogólnego poziomu ryzyka, zatwierdzonego w ramach założeń do planu ekonomiczno-finansowego</w:t>
      </w:r>
      <w:r w:rsidRPr="00ED417D">
        <w:rPr>
          <w:rFonts w:ascii="Times New Roman" w:hAnsi="Times New Roman"/>
          <w:color w:val="FF0000"/>
          <w:sz w:val="24"/>
          <w:szCs w:val="24"/>
        </w:rPr>
        <w:t xml:space="preserve">. </w:t>
      </w:r>
      <w:r w:rsidRPr="00E12233">
        <w:rPr>
          <w:rFonts w:ascii="Times New Roman" w:hAnsi="Times New Roman"/>
          <w:sz w:val="24"/>
          <w:szCs w:val="24"/>
        </w:rPr>
        <w:t>Wysokość limitów koncentracji jest weryfikowana co najmniej raz w roku w trakcie przeglądu zarządczego procedur w zakresie zarządzania ryzykiem kredytowym. Limity określające jednostkowe zaangażowanie danego klienta są monitorowane w momencie udzielania kredytu oraz podczas monitoringu sytuacji klienta po udzieleniu kredytu przez pracownika kredytowego prowadzącego dokumentację danego klienta.</w:t>
      </w:r>
    </w:p>
    <w:p w14:paraId="3D32C798" w14:textId="77777777" w:rsidR="006B19B6" w:rsidRPr="00AF4F87" w:rsidRDefault="006B19B6" w:rsidP="006B19B6">
      <w:pPr>
        <w:spacing w:after="0"/>
        <w:jc w:val="both"/>
        <w:rPr>
          <w:rFonts w:ascii="Times New Roman" w:hAnsi="Times New Roman"/>
          <w:sz w:val="24"/>
          <w:szCs w:val="24"/>
        </w:rPr>
      </w:pPr>
      <w:r w:rsidRPr="00AF4F87">
        <w:rPr>
          <w:rFonts w:ascii="Times New Roman" w:hAnsi="Times New Roman"/>
          <w:sz w:val="24"/>
          <w:szCs w:val="24"/>
        </w:rPr>
        <w:t>Każdy przypadek lub możliwość przekroczenia limitów jednostkowych jest sygnalizowany osobie kierującej komórką udzielającą kredyty, a następnie Prezesowi Zarządu nadzorującemu ryzyko kredytowe.</w:t>
      </w:r>
    </w:p>
    <w:p w14:paraId="601FE995" w14:textId="77777777" w:rsidR="006B19B6" w:rsidRPr="0033737E" w:rsidRDefault="006B19B6" w:rsidP="006B19B6">
      <w:pPr>
        <w:spacing w:after="0"/>
        <w:jc w:val="both"/>
        <w:rPr>
          <w:rFonts w:ascii="Times New Roman" w:hAnsi="Times New Roman"/>
          <w:sz w:val="24"/>
          <w:szCs w:val="24"/>
        </w:rPr>
      </w:pPr>
      <w:r w:rsidRPr="0033737E">
        <w:rPr>
          <w:rFonts w:ascii="Times New Roman" w:hAnsi="Times New Roman"/>
          <w:sz w:val="24"/>
          <w:szCs w:val="24"/>
        </w:rPr>
        <w:t>Powyższe działania pozwalają mierzyć, kontrolować i monitorować profil ryzyka kredytowego, występującego w działalności Banku. Gdy  ryzyko występujące w portfelu kredytowym okazuje się nieakceptowane, Zarząd Banku stosuje następujące rozwiązania:</w:t>
      </w:r>
    </w:p>
    <w:p w14:paraId="4350F164" w14:textId="24257FAC" w:rsidR="006B19B6" w:rsidRPr="0033737E" w:rsidRDefault="001929C7" w:rsidP="006F5A70">
      <w:pPr>
        <w:numPr>
          <w:ilvl w:val="0"/>
          <w:numId w:val="50"/>
        </w:numPr>
        <w:spacing w:after="0"/>
        <w:ind w:left="851" w:hanging="425"/>
        <w:jc w:val="both"/>
        <w:rPr>
          <w:rFonts w:ascii="Times New Roman" w:hAnsi="Times New Roman"/>
          <w:sz w:val="24"/>
          <w:szCs w:val="24"/>
        </w:rPr>
      </w:pPr>
      <w:r w:rsidRPr="0033737E">
        <w:rPr>
          <w:rFonts w:ascii="Times New Roman" w:hAnsi="Times New Roman"/>
          <w:sz w:val="24"/>
          <w:szCs w:val="24"/>
        </w:rPr>
        <w:t>o</w:t>
      </w:r>
      <w:r w:rsidR="006B19B6" w:rsidRPr="0033737E">
        <w:rPr>
          <w:rFonts w:ascii="Times New Roman" w:hAnsi="Times New Roman"/>
          <w:sz w:val="24"/>
          <w:szCs w:val="24"/>
        </w:rPr>
        <w:t>graniczanie kwoty zaangażowania poprzez wprowadzenie ostrzejszych limitów na kredyty udzielane określonym kredytobiorcom, na duże zaangażowania kredytowe lub na pewne rodzaje kredytów o wysokim stopniu zbadanego ryzyka,</w:t>
      </w:r>
    </w:p>
    <w:p w14:paraId="13495143" w14:textId="7F8358F7" w:rsidR="006B19B6" w:rsidRPr="0033737E" w:rsidRDefault="001929C7" w:rsidP="006F5A70">
      <w:pPr>
        <w:numPr>
          <w:ilvl w:val="0"/>
          <w:numId w:val="50"/>
        </w:numPr>
        <w:spacing w:after="0"/>
        <w:ind w:left="851" w:hanging="425"/>
        <w:jc w:val="both"/>
        <w:rPr>
          <w:rFonts w:ascii="Times New Roman" w:hAnsi="Times New Roman"/>
          <w:sz w:val="24"/>
          <w:szCs w:val="24"/>
        </w:rPr>
      </w:pPr>
      <w:r w:rsidRPr="0033737E">
        <w:rPr>
          <w:rFonts w:ascii="Times New Roman" w:hAnsi="Times New Roman"/>
          <w:sz w:val="24"/>
          <w:szCs w:val="24"/>
        </w:rPr>
        <w:t>z</w:t>
      </w:r>
      <w:r w:rsidR="006B19B6" w:rsidRPr="0033737E">
        <w:rPr>
          <w:rFonts w:ascii="Times New Roman" w:hAnsi="Times New Roman"/>
          <w:sz w:val="24"/>
          <w:szCs w:val="24"/>
        </w:rPr>
        <w:t>większenie poziomu zabezpieczeń,</w:t>
      </w:r>
    </w:p>
    <w:p w14:paraId="7EBF3933" w14:textId="28727FBA" w:rsidR="006B19B6" w:rsidRPr="0033737E" w:rsidRDefault="001929C7" w:rsidP="006F5A70">
      <w:pPr>
        <w:numPr>
          <w:ilvl w:val="0"/>
          <w:numId w:val="50"/>
        </w:numPr>
        <w:spacing w:after="0"/>
        <w:ind w:left="851" w:hanging="425"/>
        <w:jc w:val="both"/>
        <w:rPr>
          <w:rFonts w:ascii="Times New Roman" w:hAnsi="Times New Roman"/>
          <w:sz w:val="24"/>
          <w:szCs w:val="24"/>
        </w:rPr>
      </w:pPr>
      <w:r w:rsidRPr="0033737E">
        <w:rPr>
          <w:rFonts w:ascii="Times New Roman" w:hAnsi="Times New Roman"/>
          <w:sz w:val="24"/>
          <w:szCs w:val="24"/>
        </w:rPr>
        <w:t>r</w:t>
      </w:r>
      <w:r w:rsidR="006B19B6" w:rsidRPr="0033737E">
        <w:rPr>
          <w:rFonts w:ascii="Times New Roman" w:hAnsi="Times New Roman"/>
          <w:sz w:val="24"/>
          <w:szCs w:val="24"/>
        </w:rPr>
        <w:t>estrukturyzowanie zadłużenia,</w:t>
      </w:r>
    </w:p>
    <w:p w14:paraId="09024CC5" w14:textId="0B466504" w:rsidR="006B19B6" w:rsidRPr="0033737E" w:rsidRDefault="001929C7" w:rsidP="006F5A70">
      <w:pPr>
        <w:numPr>
          <w:ilvl w:val="0"/>
          <w:numId w:val="50"/>
        </w:numPr>
        <w:tabs>
          <w:tab w:val="left" w:pos="284"/>
        </w:tabs>
        <w:spacing w:after="0"/>
        <w:ind w:left="851" w:hanging="425"/>
        <w:jc w:val="both"/>
        <w:rPr>
          <w:rFonts w:ascii="Times New Roman" w:hAnsi="Times New Roman"/>
          <w:sz w:val="24"/>
          <w:szCs w:val="24"/>
        </w:rPr>
      </w:pPr>
      <w:r w:rsidRPr="0033737E">
        <w:rPr>
          <w:rFonts w:ascii="Times New Roman" w:hAnsi="Times New Roman"/>
          <w:sz w:val="24"/>
          <w:szCs w:val="24"/>
        </w:rPr>
        <w:t>d</w:t>
      </w:r>
      <w:r w:rsidR="006B19B6" w:rsidRPr="0033737E">
        <w:rPr>
          <w:rFonts w:ascii="Times New Roman" w:hAnsi="Times New Roman"/>
          <w:sz w:val="24"/>
          <w:szCs w:val="24"/>
        </w:rPr>
        <w:t>oskonalenie standardów kredytowych i systemu kontroli wewnętrznej, opracowanie odpowiednich procedur wewnętrznych,</w:t>
      </w:r>
    </w:p>
    <w:p w14:paraId="3847E321" w14:textId="155FEDEE" w:rsidR="006B19B6" w:rsidRPr="0033737E" w:rsidRDefault="001929C7" w:rsidP="006F5A70">
      <w:pPr>
        <w:numPr>
          <w:ilvl w:val="0"/>
          <w:numId w:val="50"/>
        </w:numPr>
        <w:spacing w:after="0"/>
        <w:ind w:left="851" w:hanging="425"/>
        <w:jc w:val="both"/>
        <w:rPr>
          <w:rFonts w:ascii="Times New Roman" w:hAnsi="Times New Roman"/>
          <w:sz w:val="24"/>
          <w:szCs w:val="24"/>
        </w:rPr>
      </w:pPr>
      <w:r w:rsidRPr="0033737E">
        <w:rPr>
          <w:rFonts w:ascii="Times New Roman" w:hAnsi="Times New Roman"/>
          <w:sz w:val="24"/>
          <w:szCs w:val="24"/>
        </w:rPr>
        <w:t>p</w:t>
      </w:r>
      <w:r w:rsidR="006B19B6" w:rsidRPr="0033737E">
        <w:rPr>
          <w:rFonts w:ascii="Times New Roman" w:hAnsi="Times New Roman"/>
          <w:sz w:val="24"/>
          <w:szCs w:val="24"/>
        </w:rPr>
        <w:t>odejmowanie innych zindywidualizowanych działań, zależnych od skali i rodzaju stwierdzonego zagrożenia.</w:t>
      </w:r>
    </w:p>
    <w:p w14:paraId="38E1405B" w14:textId="77777777" w:rsidR="006B19B6" w:rsidRPr="00ED417D" w:rsidRDefault="006B19B6" w:rsidP="006B19B6">
      <w:pPr>
        <w:spacing w:after="0"/>
        <w:jc w:val="both"/>
        <w:rPr>
          <w:rFonts w:ascii="Times New Roman" w:hAnsi="Times New Roman"/>
          <w:color w:val="FF0000"/>
          <w:sz w:val="24"/>
          <w:szCs w:val="24"/>
        </w:rPr>
      </w:pPr>
    </w:p>
    <w:p w14:paraId="346EB4F5" w14:textId="77777777" w:rsidR="006B19B6" w:rsidRPr="007F4DEA" w:rsidRDefault="006B19B6" w:rsidP="006B19B6">
      <w:pPr>
        <w:pStyle w:val="Nagwek3"/>
        <w:keepLines w:val="0"/>
        <w:numPr>
          <w:ilvl w:val="2"/>
          <w:numId w:val="0"/>
        </w:numPr>
        <w:tabs>
          <w:tab w:val="num" w:pos="1288"/>
        </w:tabs>
        <w:spacing w:before="240" w:after="60"/>
        <w:ind w:left="1288" w:hanging="720"/>
        <w:rPr>
          <w:rFonts w:ascii="Times New Roman" w:hAnsi="Times New Roman"/>
          <w:b/>
          <w:color w:val="auto"/>
          <w:u w:val="single"/>
        </w:rPr>
      </w:pPr>
      <w:r w:rsidRPr="007F4DEA">
        <w:rPr>
          <w:rFonts w:ascii="Times New Roman" w:hAnsi="Times New Roman"/>
          <w:b/>
          <w:color w:val="auto"/>
          <w:u w:val="single"/>
        </w:rPr>
        <w:t>Ryzyko płynnoś</w:t>
      </w:r>
      <w:bookmarkEnd w:id="0"/>
      <w:r w:rsidRPr="007F4DEA">
        <w:rPr>
          <w:rFonts w:ascii="Times New Roman" w:hAnsi="Times New Roman"/>
          <w:b/>
          <w:color w:val="auto"/>
          <w:u w:val="single"/>
        </w:rPr>
        <w:t xml:space="preserve">ci </w:t>
      </w:r>
    </w:p>
    <w:p w14:paraId="6E4E423F" w14:textId="77777777" w:rsidR="008377FB" w:rsidRPr="007F4DEA" w:rsidRDefault="008377FB" w:rsidP="006B19B6">
      <w:pPr>
        <w:tabs>
          <w:tab w:val="left" w:pos="0"/>
        </w:tabs>
        <w:ind w:left="750"/>
        <w:jc w:val="both"/>
        <w:rPr>
          <w:rFonts w:ascii="Times New Roman" w:hAnsi="Times New Roman"/>
          <w:b/>
          <w:sz w:val="24"/>
          <w:szCs w:val="24"/>
        </w:rPr>
      </w:pPr>
    </w:p>
    <w:p w14:paraId="06AED30E" w14:textId="37D12A3D" w:rsidR="006B19B6" w:rsidRPr="007F4DEA" w:rsidRDefault="006B19B6" w:rsidP="006B19B6">
      <w:pPr>
        <w:tabs>
          <w:tab w:val="left" w:pos="0"/>
        </w:tabs>
        <w:ind w:left="750"/>
        <w:jc w:val="both"/>
        <w:rPr>
          <w:rFonts w:ascii="Times New Roman" w:hAnsi="Times New Roman"/>
          <w:b/>
          <w:sz w:val="24"/>
          <w:szCs w:val="24"/>
        </w:rPr>
      </w:pPr>
      <w:r w:rsidRPr="007F4DEA">
        <w:rPr>
          <w:rFonts w:ascii="Times New Roman" w:hAnsi="Times New Roman"/>
          <w:b/>
          <w:sz w:val="24"/>
          <w:szCs w:val="24"/>
        </w:rPr>
        <w:t>Celem strategicznym w zakresie zarządzania płynnością jest:</w:t>
      </w:r>
    </w:p>
    <w:p w14:paraId="7BE36699"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Zapewnienie finansowania aktywów i terminowego wykonania zobowiązań w toku normalnej działalności Banku lub w innych warunkach, które można przewidzieć, bez konieczności poniesienia straty,</w:t>
      </w:r>
    </w:p>
    <w:p w14:paraId="5DE3E35B"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Zapewnienie utrzymania płynności bieżącej, krótkoterminowej, średnioterminowej oraz długoterminowej dostosowanej do rozmiarów i rodzaju działalności, w sposób zapewniający wykonanie wszystkich zobowiązań pieniężnych zgodnie z terminami ich płatności,</w:t>
      </w:r>
    </w:p>
    <w:p w14:paraId="0A9609EE"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Minimalizowanie ryzyka przekroczenia zdefiniowanych w Banku limitów płynności,</w:t>
      </w:r>
    </w:p>
    <w:p w14:paraId="3907AA35"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lastRenderedPageBreak/>
        <w:t>Monitorowanie sytuacji płynnościowej Banku pod kątem wystąpienia sytuacji awaryjnej powodującej konieczność uruchomienia planu awaryjnego utrzymania płynności,</w:t>
      </w:r>
    </w:p>
    <w:p w14:paraId="76197650"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Minimalizowanie ryzyka utraty płynności przez Bank w przyszłości,</w:t>
      </w:r>
    </w:p>
    <w:p w14:paraId="49DCCAB5"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Optymalne zarządzanie nadwyżkami środków finansowych,</w:t>
      </w:r>
    </w:p>
    <w:p w14:paraId="36594E1B" w14:textId="77777777" w:rsidR="006B19B6" w:rsidRPr="007F4DEA" w:rsidRDefault="006B19B6" w:rsidP="000C62C3">
      <w:pPr>
        <w:numPr>
          <w:ilvl w:val="0"/>
          <w:numId w:val="51"/>
        </w:numPr>
        <w:spacing w:after="0"/>
        <w:jc w:val="both"/>
        <w:rPr>
          <w:rFonts w:ascii="Times New Roman" w:hAnsi="Times New Roman"/>
          <w:snapToGrid w:val="0"/>
          <w:position w:val="-10"/>
          <w:sz w:val="24"/>
          <w:szCs w:val="24"/>
        </w:rPr>
      </w:pPr>
      <w:r w:rsidRPr="007F4DEA">
        <w:rPr>
          <w:rFonts w:ascii="Times New Roman" w:hAnsi="Times New Roman"/>
          <w:snapToGrid w:val="0"/>
          <w:position w:val="-10"/>
          <w:sz w:val="24"/>
          <w:szCs w:val="24"/>
        </w:rPr>
        <w:t>Utrzymywanie nadzorczych miar płynności na bezpiecznym poziomie. Bank, pomimo działania w systemie ochrony wylicza i utrzymuje zarówno krajowe miary nadzorcze, jak i unijne na wymaganym poziomie w ujęciu indywidualnym.</w:t>
      </w:r>
    </w:p>
    <w:p w14:paraId="1B163F2C" w14:textId="77777777" w:rsidR="006B19B6" w:rsidRPr="00ED417D" w:rsidRDefault="006B19B6" w:rsidP="006B19B6">
      <w:pPr>
        <w:tabs>
          <w:tab w:val="left" w:pos="0"/>
        </w:tabs>
        <w:ind w:left="750"/>
        <w:jc w:val="both"/>
        <w:rPr>
          <w:rFonts w:ascii="Times New Roman" w:hAnsi="Times New Roman"/>
          <w:color w:val="FF0000"/>
          <w:sz w:val="24"/>
          <w:szCs w:val="24"/>
        </w:rPr>
      </w:pPr>
    </w:p>
    <w:p w14:paraId="3F823AE6" w14:textId="77777777" w:rsidR="006B19B6" w:rsidRPr="007F4DEA" w:rsidRDefault="006B19B6" w:rsidP="006B19B6">
      <w:pPr>
        <w:widowControl w:val="0"/>
        <w:suppressAutoHyphens/>
        <w:ind w:left="708"/>
        <w:jc w:val="both"/>
        <w:rPr>
          <w:rFonts w:ascii="Times New Roman" w:hAnsi="Times New Roman"/>
          <w:sz w:val="24"/>
          <w:szCs w:val="24"/>
        </w:rPr>
      </w:pPr>
      <w:r w:rsidRPr="007F4DEA">
        <w:rPr>
          <w:rFonts w:ascii="Times New Roman" w:hAnsi="Times New Roman"/>
          <w:sz w:val="24"/>
          <w:szCs w:val="24"/>
        </w:rPr>
        <w:t>Bank zarządza płynnością:</w:t>
      </w:r>
    </w:p>
    <w:p w14:paraId="021A6113" w14:textId="77777777" w:rsidR="006B19B6" w:rsidRPr="007F4DEA" w:rsidRDefault="006B19B6" w:rsidP="000C62C3">
      <w:pPr>
        <w:pStyle w:val="Akapitzlist"/>
        <w:widowControl w:val="0"/>
        <w:numPr>
          <w:ilvl w:val="0"/>
          <w:numId w:val="33"/>
        </w:numPr>
        <w:suppressAutoHyphens/>
        <w:jc w:val="both"/>
        <w:rPr>
          <w:rFonts w:ascii="Times New Roman" w:hAnsi="Times New Roman"/>
          <w:sz w:val="24"/>
          <w:szCs w:val="24"/>
        </w:rPr>
      </w:pPr>
      <w:r w:rsidRPr="007F4DEA">
        <w:rPr>
          <w:rFonts w:ascii="Times New Roman" w:hAnsi="Times New Roman"/>
          <w:sz w:val="24"/>
          <w:szCs w:val="24"/>
        </w:rPr>
        <w:t>Bieżącą w tym dzienną i śróddzienną tj. aktywnie zarządza środkami na rachunku bieżącym, lokując nadwyżki głównie w Banku Zrzeszającym oraz w bezpieczne papiery wartościowe Narodowego Banku Polskiego oraz Skarbu Państwa, zarządza gotówką poprzez ustalanie limitów kasowych,</w:t>
      </w:r>
    </w:p>
    <w:p w14:paraId="490ACF5F" w14:textId="77777777" w:rsidR="006B19B6" w:rsidRPr="007F4DEA" w:rsidRDefault="006B19B6" w:rsidP="000C62C3">
      <w:pPr>
        <w:pStyle w:val="Akapitzlist"/>
        <w:widowControl w:val="0"/>
        <w:numPr>
          <w:ilvl w:val="0"/>
          <w:numId w:val="33"/>
        </w:numPr>
        <w:suppressAutoHyphens/>
        <w:jc w:val="both"/>
        <w:rPr>
          <w:rFonts w:ascii="Times New Roman" w:hAnsi="Times New Roman"/>
          <w:sz w:val="24"/>
          <w:szCs w:val="24"/>
        </w:rPr>
      </w:pPr>
      <w:r w:rsidRPr="007F4DEA">
        <w:rPr>
          <w:rFonts w:ascii="Times New Roman" w:hAnsi="Times New Roman"/>
          <w:sz w:val="24"/>
          <w:szCs w:val="24"/>
        </w:rPr>
        <w:t xml:space="preserve">Płynnością krótko i średnioterminową poprzez niezależną ocenę wskaźników płynności, wyznaczanie i monitorowanie limitów płynnościowych oraz przeprowadzanie testów warunków skrajnych, </w:t>
      </w:r>
    </w:p>
    <w:p w14:paraId="3EC25591" w14:textId="77777777" w:rsidR="006B19B6" w:rsidRPr="007F4DEA" w:rsidRDefault="006B19B6" w:rsidP="000C62C3">
      <w:pPr>
        <w:pStyle w:val="Akapitzlist"/>
        <w:widowControl w:val="0"/>
        <w:numPr>
          <w:ilvl w:val="0"/>
          <w:numId w:val="33"/>
        </w:numPr>
        <w:suppressAutoHyphens/>
        <w:jc w:val="both"/>
        <w:rPr>
          <w:rFonts w:ascii="Times New Roman" w:hAnsi="Times New Roman"/>
          <w:sz w:val="24"/>
          <w:szCs w:val="24"/>
        </w:rPr>
      </w:pPr>
      <w:r w:rsidRPr="007F4DEA">
        <w:rPr>
          <w:rFonts w:ascii="Times New Roman" w:hAnsi="Times New Roman"/>
          <w:sz w:val="24"/>
          <w:szCs w:val="24"/>
        </w:rPr>
        <w:t xml:space="preserve">Płynnością długoterminową poprzez badanie stabilności bazy depozytowej oraz ustalanie limitów koncentracji aktywów i pasywów.  </w:t>
      </w:r>
    </w:p>
    <w:p w14:paraId="4059754A" w14:textId="77777777" w:rsidR="006B19B6" w:rsidRPr="007F4DEA" w:rsidRDefault="006B19B6" w:rsidP="006B19B6">
      <w:pPr>
        <w:widowControl w:val="0"/>
        <w:suppressAutoHyphens/>
        <w:jc w:val="both"/>
        <w:rPr>
          <w:rFonts w:ascii="Times New Roman" w:hAnsi="Times New Roman"/>
          <w:sz w:val="24"/>
          <w:szCs w:val="24"/>
        </w:rPr>
      </w:pPr>
      <w:r w:rsidRPr="007F4DEA">
        <w:rPr>
          <w:rFonts w:ascii="Times New Roman" w:hAnsi="Times New Roman"/>
          <w:sz w:val="24"/>
          <w:szCs w:val="24"/>
        </w:rPr>
        <w:t>Głównym źródłem finansowania aktywów o długim terminie zapadalności są depozyty stabilne (obliczone na podstawie wskaźników osadu), stanowiące pewne źródło finansowania długoterminowego aktywów oraz fundusze własne Banku. Limity ostrożnościowe dotyczące finansowania długoterminowego, ograniczają znaczne zaangażowanie się Banku w tego typu aktywa.</w:t>
      </w:r>
    </w:p>
    <w:p w14:paraId="42F57B03" w14:textId="58571B93" w:rsidR="006B19B6" w:rsidRPr="007F4DEA" w:rsidRDefault="006B19B6" w:rsidP="006B19B6">
      <w:pPr>
        <w:widowControl w:val="0"/>
        <w:suppressAutoHyphens/>
        <w:jc w:val="both"/>
        <w:rPr>
          <w:rFonts w:ascii="Times New Roman" w:hAnsi="Times New Roman"/>
          <w:sz w:val="24"/>
          <w:szCs w:val="24"/>
        </w:rPr>
      </w:pPr>
      <w:r w:rsidRPr="007F4DEA">
        <w:rPr>
          <w:rFonts w:ascii="Times New Roman" w:hAnsi="Times New Roman"/>
          <w:sz w:val="24"/>
          <w:szCs w:val="24"/>
        </w:rPr>
        <w:t>Bank działa w ramach Systemu Ochrony Zrzeszenia BPS, co gwarantuje bezpieczeństwo w obszarze płynności.</w:t>
      </w:r>
    </w:p>
    <w:p w14:paraId="7DA2B691" w14:textId="77777777" w:rsidR="006B19B6" w:rsidRPr="007F4DEA" w:rsidRDefault="006B19B6" w:rsidP="006B19B6">
      <w:pPr>
        <w:widowControl w:val="0"/>
        <w:suppressAutoHyphens/>
        <w:jc w:val="both"/>
        <w:rPr>
          <w:rFonts w:ascii="Times New Roman" w:hAnsi="Times New Roman"/>
          <w:sz w:val="24"/>
          <w:szCs w:val="24"/>
        </w:rPr>
      </w:pPr>
      <w:r w:rsidRPr="007F4DEA">
        <w:rPr>
          <w:rFonts w:ascii="Times New Roman" w:hAnsi="Times New Roman"/>
          <w:sz w:val="24"/>
          <w:szCs w:val="24"/>
        </w:rPr>
        <w:t>W celu kształtowania odpowiedniej struktury aktywów i pasywów Bank prowadzi aktywną politykę stóp procentowych.</w:t>
      </w:r>
    </w:p>
    <w:p w14:paraId="6642D55B" w14:textId="77777777" w:rsidR="006B19B6" w:rsidRPr="00ED417D" w:rsidRDefault="006B19B6" w:rsidP="006B19B6">
      <w:pPr>
        <w:widowControl w:val="0"/>
        <w:suppressAutoHyphens/>
        <w:ind w:left="708"/>
        <w:jc w:val="both"/>
        <w:rPr>
          <w:rFonts w:ascii="Times New Roman" w:hAnsi="Times New Roman"/>
          <w:color w:val="FF0000"/>
          <w:sz w:val="24"/>
          <w:szCs w:val="24"/>
        </w:rPr>
      </w:pPr>
    </w:p>
    <w:p w14:paraId="2CFFE77D" w14:textId="77777777" w:rsidR="006B19B6" w:rsidRPr="00A90C1D" w:rsidRDefault="006B19B6" w:rsidP="006B19B6">
      <w:pPr>
        <w:pStyle w:val="Nagwek3"/>
        <w:keepLines w:val="0"/>
        <w:numPr>
          <w:ilvl w:val="2"/>
          <w:numId w:val="0"/>
        </w:numPr>
        <w:tabs>
          <w:tab w:val="num" w:pos="1288"/>
        </w:tabs>
        <w:spacing w:before="240" w:after="60"/>
        <w:ind w:left="1288" w:hanging="720"/>
        <w:rPr>
          <w:rFonts w:ascii="Times New Roman" w:hAnsi="Times New Roman"/>
          <w:color w:val="auto"/>
          <w:u w:val="single"/>
        </w:rPr>
      </w:pPr>
      <w:bookmarkStart w:id="1" w:name="_Toc450734994"/>
      <w:r w:rsidRPr="00A90C1D">
        <w:rPr>
          <w:rFonts w:ascii="Times New Roman" w:hAnsi="Times New Roman"/>
          <w:b/>
          <w:color w:val="auto"/>
          <w:u w:val="single"/>
        </w:rPr>
        <w:t>Ryzyko stopy procentowej</w:t>
      </w:r>
      <w:bookmarkEnd w:id="1"/>
      <w:r w:rsidRPr="00A90C1D">
        <w:rPr>
          <w:rFonts w:ascii="Times New Roman" w:hAnsi="Times New Roman"/>
          <w:color w:val="auto"/>
          <w:u w:val="single"/>
        </w:rPr>
        <w:t xml:space="preserve"> </w:t>
      </w:r>
    </w:p>
    <w:p w14:paraId="706081AC" w14:textId="77777777" w:rsidR="006B19B6" w:rsidRPr="00A90C1D" w:rsidRDefault="006B19B6" w:rsidP="006B19B6">
      <w:pPr>
        <w:tabs>
          <w:tab w:val="left" w:pos="709"/>
          <w:tab w:val="num" w:pos="1440"/>
        </w:tabs>
        <w:ind w:left="709"/>
        <w:jc w:val="both"/>
        <w:rPr>
          <w:rFonts w:ascii="Times New Roman" w:hAnsi="Times New Roman"/>
          <w:b/>
          <w:sz w:val="24"/>
          <w:szCs w:val="24"/>
        </w:rPr>
      </w:pPr>
    </w:p>
    <w:p w14:paraId="415B8677" w14:textId="77777777" w:rsidR="006B19B6" w:rsidRPr="00A90C1D" w:rsidRDefault="006B19B6" w:rsidP="00A90C1D">
      <w:pPr>
        <w:tabs>
          <w:tab w:val="num" w:pos="1440"/>
        </w:tabs>
        <w:jc w:val="both"/>
        <w:rPr>
          <w:rFonts w:ascii="Times New Roman" w:hAnsi="Times New Roman"/>
          <w:b/>
          <w:sz w:val="24"/>
          <w:szCs w:val="24"/>
        </w:rPr>
      </w:pPr>
      <w:r w:rsidRPr="00A90C1D">
        <w:rPr>
          <w:rFonts w:ascii="Times New Roman" w:hAnsi="Times New Roman"/>
          <w:b/>
          <w:sz w:val="24"/>
          <w:szCs w:val="24"/>
        </w:rPr>
        <w:t>Celem strategicznym w zakresie zarządzania ryzykiem stopy procentowej jest:</w:t>
      </w:r>
    </w:p>
    <w:p w14:paraId="6F425B1E" w14:textId="77777777" w:rsidR="006B19B6" w:rsidRPr="00A90C1D" w:rsidRDefault="006B19B6" w:rsidP="00A90C1D">
      <w:pPr>
        <w:numPr>
          <w:ilvl w:val="0"/>
          <w:numId w:val="52"/>
        </w:numPr>
        <w:tabs>
          <w:tab w:val="clear" w:pos="1099"/>
          <w:tab w:val="num" w:pos="0"/>
          <w:tab w:val="left" w:pos="709"/>
        </w:tabs>
        <w:spacing w:after="0"/>
        <w:ind w:left="426" w:hanging="426"/>
        <w:jc w:val="both"/>
        <w:rPr>
          <w:rFonts w:ascii="Times New Roman" w:hAnsi="Times New Roman"/>
          <w:snapToGrid w:val="0"/>
          <w:position w:val="-10"/>
          <w:sz w:val="24"/>
          <w:szCs w:val="24"/>
        </w:rPr>
      </w:pPr>
      <w:r w:rsidRPr="00A90C1D">
        <w:rPr>
          <w:rFonts w:ascii="Times New Roman" w:hAnsi="Times New Roman"/>
          <w:snapToGrid w:val="0"/>
          <w:position w:val="-10"/>
          <w:sz w:val="24"/>
          <w:szCs w:val="24"/>
        </w:rPr>
        <w:t>Minimalizowanie ryzyka związanego z możliwością wystąpienia niekorzystnych zmian rynkowych stóp procentowych i negatywnym wpływem tych zmian na sytuację finansową Banku,</w:t>
      </w:r>
    </w:p>
    <w:p w14:paraId="5FAE9092" w14:textId="77777777" w:rsidR="006B19B6" w:rsidRPr="00A90C1D" w:rsidRDefault="006B19B6" w:rsidP="00A90C1D">
      <w:pPr>
        <w:numPr>
          <w:ilvl w:val="0"/>
          <w:numId w:val="52"/>
        </w:numPr>
        <w:tabs>
          <w:tab w:val="clear" w:pos="1099"/>
          <w:tab w:val="num" w:pos="0"/>
          <w:tab w:val="left" w:pos="709"/>
        </w:tabs>
        <w:spacing w:after="0"/>
        <w:ind w:left="426" w:hanging="426"/>
        <w:jc w:val="both"/>
        <w:rPr>
          <w:rFonts w:ascii="Times New Roman" w:hAnsi="Times New Roman"/>
          <w:snapToGrid w:val="0"/>
          <w:position w:val="-10"/>
          <w:sz w:val="24"/>
          <w:szCs w:val="24"/>
        </w:rPr>
      </w:pPr>
      <w:r w:rsidRPr="00A90C1D">
        <w:rPr>
          <w:rFonts w:ascii="Times New Roman" w:hAnsi="Times New Roman"/>
          <w:snapToGrid w:val="0"/>
          <w:position w:val="-10"/>
          <w:sz w:val="24"/>
          <w:szCs w:val="24"/>
        </w:rPr>
        <w:t xml:space="preserve">Zidentyfikowanie podstawowych zagrożeń związanych z ryzykiem stopy procentowej, z jednoczesnym zastosowaniem odpowiednich metod zarządzania tym ryzykiem, mających na celu eliminację zagrożeń nierównomiernej reakcji różnych pozycji bilansowych na zmiany stóp procentowych, a przez to na różny poziom zmian przychodów i kosztów, co </w:t>
      </w:r>
      <w:r w:rsidRPr="00A90C1D">
        <w:rPr>
          <w:rFonts w:ascii="Times New Roman" w:hAnsi="Times New Roman"/>
          <w:snapToGrid w:val="0"/>
          <w:position w:val="-10"/>
          <w:sz w:val="24"/>
          <w:szCs w:val="24"/>
        </w:rPr>
        <w:lastRenderedPageBreak/>
        <w:t>w konsekwencji ma pozwolić utrzymać zdolność do wywiązywania się w sposób optymalny z bieżących i przyszłych zobowiązań bilansowych, jak i pozabilansowych, przy zapewnieniu pożądanego wyniku finansowego oraz realnej wartości posiadanych kapitałów.</w:t>
      </w:r>
    </w:p>
    <w:p w14:paraId="46ED28D9" w14:textId="77777777" w:rsidR="006B19B6" w:rsidRPr="00B1210A" w:rsidRDefault="006B19B6" w:rsidP="00A90C1D">
      <w:pPr>
        <w:widowControl w:val="0"/>
        <w:tabs>
          <w:tab w:val="num" w:pos="0"/>
          <w:tab w:val="num" w:pos="851"/>
          <w:tab w:val="num" w:pos="1134"/>
        </w:tabs>
        <w:suppressAutoHyphens/>
        <w:ind w:left="426" w:hanging="426"/>
        <w:jc w:val="both"/>
        <w:rPr>
          <w:rFonts w:ascii="Times New Roman" w:hAnsi="Times New Roman"/>
          <w:sz w:val="24"/>
          <w:szCs w:val="24"/>
        </w:rPr>
      </w:pPr>
    </w:p>
    <w:p w14:paraId="1344F7AF" w14:textId="77777777" w:rsidR="006B19B6" w:rsidRPr="00B1210A" w:rsidRDefault="006B19B6" w:rsidP="006F5A70">
      <w:pPr>
        <w:widowControl w:val="0"/>
        <w:tabs>
          <w:tab w:val="num" w:pos="851"/>
          <w:tab w:val="num" w:pos="1134"/>
        </w:tabs>
        <w:suppressAutoHyphens/>
        <w:jc w:val="both"/>
        <w:rPr>
          <w:rFonts w:ascii="Times New Roman" w:hAnsi="Times New Roman"/>
          <w:b/>
          <w:sz w:val="24"/>
          <w:szCs w:val="24"/>
        </w:rPr>
      </w:pPr>
      <w:r w:rsidRPr="00B1210A">
        <w:rPr>
          <w:rFonts w:ascii="Times New Roman" w:hAnsi="Times New Roman"/>
          <w:b/>
          <w:sz w:val="24"/>
          <w:szCs w:val="24"/>
        </w:rPr>
        <w:t>Realizacja strategii Banku w zakresie zarządzania ryzykiem stopy procentowej oparta jest m.in. na następujących zasadach:</w:t>
      </w:r>
    </w:p>
    <w:p w14:paraId="57DEA8CC" w14:textId="77777777" w:rsidR="006B19B6" w:rsidRPr="00B1210A" w:rsidRDefault="006B19B6" w:rsidP="000C62C3">
      <w:pPr>
        <w:widowControl w:val="0"/>
        <w:numPr>
          <w:ilvl w:val="0"/>
          <w:numId w:val="53"/>
        </w:numPr>
        <w:suppressAutoHyphens/>
        <w:jc w:val="both"/>
        <w:rPr>
          <w:rFonts w:ascii="Times New Roman" w:hAnsi="Times New Roman"/>
          <w:sz w:val="24"/>
          <w:szCs w:val="24"/>
        </w:rPr>
      </w:pPr>
      <w:r w:rsidRPr="00B1210A">
        <w:rPr>
          <w:rFonts w:ascii="Times New Roman" w:hAnsi="Times New Roman"/>
          <w:sz w:val="24"/>
          <w:szCs w:val="24"/>
        </w:rPr>
        <w:t>do pomiaru ryzyka stopy procentowej Bank stosuje metodę luki stopy procentowej,</w:t>
      </w:r>
    </w:p>
    <w:p w14:paraId="13FE8B1B" w14:textId="77777777" w:rsidR="006B19B6" w:rsidRPr="00B1210A" w:rsidRDefault="006B19B6" w:rsidP="000C62C3">
      <w:pPr>
        <w:widowControl w:val="0"/>
        <w:numPr>
          <w:ilvl w:val="0"/>
          <w:numId w:val="53"/>
        </w:numPr>
        <w:suppressAutoHyphens/>
        <w:jc w:val="both"/>
        <w:rPr>
          <w:rFonts w:ascii="Times New Roman" w:hAnsi="Times New Roman"/>
          <w:sz w:val="24"/>
          <w:szCs w:val="24"/>
        </w:rPr>
      </w:pPr>
      <w:r w:rsidRPr="00B1210A">
        <w:rPr>
          <w:rFonts w:ascii="Times New Roman" w:hAnsi="Times New Roman"/>
          <w:sz w:val="24"/>
          <w:szCs w:val="24"/>
        </w:rPr>
        <w:t>do oceny tego ryzyka Bank może dodatkowo wykorzystywać również inne metody, np. badania symulacyjne wpływu zmian stóp procentowych na przychody odsetkowe, koszty odsetkowe i w konsekwencji na zmiany wyniku odsetkowego  oraz wartości ekonomicznej kapitału Banku (wpływ na fundusze własne),</w:t>
      </w:r>
    </w:p>
    <w:p w14:paraId="272B3AFD" w14:textId="77777777" w:rsidR="006B19B6" w:rsidRPr="00B1210A" w:rsidRDefault="006B19B6" w:rsidP="000C62C3">
      <w:pPr>
        <w:widowControl w:val="0"/>
        <w:numPr>
          <w:ilvl w:val="0"/>
          <w:numId w:val="53"/>
        </w:numPr>
        <w:suppressAutoHyphens/>
        <w:jc w:val="both"/>
        <w:rPr>
          <w:rFonts w:ascii="Times New Roman" w:hAnsi="Times New Roman"/>
          <w:sz w:val="24"/>
          <w:szCs w:val="24"/>
        </w:rPr>
      </w:pPr>
      <w:r w:rsidRPr="00B1210A">
        <w:rPr>
          <w:rFonts w:ascii="Times New Roman" w:hAnsi="Times New Roman"/>
          <w:sz w:val="24"/>
          <w:szCs w:val="24"/>
        </w:rPr>
        <w:t>zarządzanie ryzykiem stopy procentowej koncentruje się na zarządzaniu ryzykiem przeszacowania, ryzykiem bazowym, na kontroli ryzyka opcji klienta oraz na analizie zmian w zakresie krzywej dochodowości (ryzyko krzywej dochodowości) i ewentualnego wpływu tych zmian na wynik odsetkowy oraz wartość ekonomiczną kapitału,</w:t>
      </w:r>
    </w:p>
    <w:p w14:paraId="4082CDE2" w14:textId="77777777" w:rsidR="006B19B6" w:rsidRPr="00B1210A" w:rsidRDefault="006B19B6" w:rsidP="000C62C3">
      <w:pPr>
        <w:widowControl w:val="0"/>
        <w:numPr>
          <w:ilvl w:val="0"/>
          <w:numId w:val="53"/>
        </w:numPr>
        <w:suppressAutoHyphens/>
        <w:jc w:val="both"/>
        <w:rPr>
          <w:rFonts w:ascii="Times New Roman" w:hAnsi="Times New Roman"/>
          <w:sz w:val="24"/>
          <w:szCs w:val="24"/>
        </w:rPr>
      </w:pPr>
      <w:r w:rsidRPr="00B1210A">
        <w:rPr>
          <w:rFonts w:ascii="Times New Roman" w:hAnsi="Times New Roman"/>
          <w:sz w:val="24"/>
          <w:szCs w:val="24"/>
        </w:rPr>
        <w:t>Bank ogranicza poziom ryzyka stopy procentowej poprzez stosowanie systemu limitów i odpowiednie kształtowanie struktury aktywów, pasywów i zobowiązań pozabilansowych.</w:t>
      </w:r>
    </w:p>
    <w:p w14:paraId="75212600" w14:textId="77777777" w:rsidR="006B19B6" w:rsidRPr="00B1210A" w:rsidRDefault="006B19B6" w:rsidP="006B19B6">
      <w:pPr>
        <w:pStyle w:val="Nagwek3"/>
        <w:keepLines w:val="0"/>
        <w:numPr>
          <w:ilvl w:val="2"/>
          <w:numId w:val="0"/>
        </w:numPr>
        <w:tabs>
          <w:tab w:val="num" w:pos="1288"/>
        </w:tabs>
        <w:spacing w:before="240" w:after="60"/>
        <w:ind w:left="1288" w:hanging="720"/>
        <w:rPr>
          <w:rFonts w:ascii="Times New Roman" w:hAnsi="Times New Roman"/>
          <w:b/>
          <w:color w:val="auto"/>
          <w:u w:val="single"/>
        </w:rPr>
      </w:pPr>
      <w:bookmarkStart w:id="2" w:name="_Toc450734996"/>
    </w:p>
    <w:p w14:paraId="13BBB21B" w14:textId="77777777" w:rsidR="006B19B6" w:rsidRPr="00A60D0F" w:rsidRDefault="006B19B6" w:rsidP="006B19B6">
      <w:pPr>
        <w:pStyle w:val="Nagwek3"/>
        <w:keepLines w:val="0"/>
        <w:numPr>
          <w:ilvl w:val="2"/>
          <w:numId w:val="0"/>
        </w:numPr>
        <w:tabs>
          <w:tab w:val="num" w:pos="1288"/>
        </w:tabs>
        <w:spacing w:before="240" w:after="60"/>
        <w:ind w:left="1288" w:hanging="720"/>
        <w:rPr>
          <w:rFonts w:ascii="Times New Roman" w:hAnsi="Times New Roman"/>
          <w:b/>
          <w:color w:val="auto"/>
          <w:u w:val="single"/>
        </w:rPr>
      </w:pPr>
      <w:r w:rsidRPr="00A60D0F">
        <w:rPr>
          <w:rFonts w:ascii="Times New Roman" w:hAnsi="Times New Roman"/>
          <w:b/>
          <w:color w:val="auto"/>
          <w:u w:val="single"/>
        </w:rPr>
        <w:t>Ryzyko walutowe:</w:t>
      </w:r>
    </w:p>
    <w:p w14:paraId="22AC8310" w14:textId="77777777" w:rsidR="006B19B6" w:rsidRPr="00B1210A" w:rsidRDefault="006B19B6" w:rsidP="006B19B6">
      <w:pPr>
        <w:rPr>
          <w:rFonts w:ascii="Times New Roman" w:hAnsi="Times New Roman"/>
          <w:sz w:val="24"/>
          <w:szCs w:val="24"/>
        </w:rPr>
      </w:pPr>
    </w:p>
    <w:p w14:paraId="4F2CBAB4" w14:textId="77777777" w:rsidR="006B19B6" w:rsidRPr="00B1210A" w:rsidRDefault="006B19B6" w:rsidP="006B19B6">
      <w:pPr>
        <w:jc w:val="both"/>
        <w:rPr>
          <w:rFonts w:ascii="Times New Roman" w:hAnsi="Times New Roman"/>
          <w:b/>
          <w:bCs/>
          <w:sz w:val="24"/>
          <w:szCs w:val="24"/>
        </w:rPr>
      </w:pPr>
      <w:r w:rsidRPr="00B1210A">
        <w:rPr>
          <w:rFonts w:ascii="Times New Roman" w:hAnsi="Times New Roman"/>
          <w:b/>
          <w:bCs/>
          <w:sz w:val="24"/>
          <w:szCs w:val="24"/>
        </w:rPr>
        <w:t>Podstawowym celem zarządzania ryzykiem walutowym jest ograniczanie skutków narażenia Banku oraz Klientów na nieoczekiwane zmiany kursów walut.</w:t>
      </w:r>
    </w:p>
    <w:p w14:paraId="02036695" w14:textId="77777777" w:rsidR="006B19B6" w:rsidRPr="00B1210A" w:rsidRDefault="006B19B6" w:rsidP="006B19B6">
      <w:pPr>
        <w:jc w:val="both"/>
        <w:rPr>
          <w:rFonts w:ascii="Times New Roman" w:hAnsi="Times New Roman"/>
          <w:bCs/>
          <w:sz w:val="24"/>
          <w:szCs w:val="24"/>
        </w:rPr>
      </w:pPr>
      <w:r w:rsidRPr="00B1210A">
        <w:rPr>
          <w:rFonts w:ascii="Times New Roman" w:hAnsi="Times New Roman"/>
          <w:bCs/>
          <w:sz w:val="24"/>
          <w:szCs w:val="24"/>
        </w:rPr>
        <w:t>Cel ten jest realizowany w oparciu o poniższe cele pośrednie:</w:t>
      </w:r>
    </w:p>
    <w:p w14:paraId="578317C7" w14:textId="77777777" w:rsidR="006B19B6" w:rsidRPr="00B1210A" w:rsidRDefault="006B19B6" w:rsidP="000C62C3">
      <w:pPr>
        <w:pStyle w:val="Akapitzlist"/>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 xml:space="preserve">Zarządzanie ryzykiem walutowym polega m.in. na zawieraniu transakcji o takiej strukturze oraz warunkach, które w najbardziej efektywny sposób zabezpieczają Bank przed potencjalnymi stratami z tytułu zmian kursów walutowych minimalizując związane z nim ryzyko. </w:t>
      </w:r>
    </w:p>
    <w:p w14:paraId="5B34093B"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 xml:space="preserve">Podstawowym celem Banku jest utrzymywanie pozycji walutowej całkowitej w wysokości nie przekraczającej 2% funduszy własnych. </w:t>
      </w:r>
    </w:p>
    <w:p w14:paraId="76530867"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Strategią Banku jest prowadzenie konserwatywnej polityki w zakresie ryzyka walutowego, tzn. kształtowanie pozycji w granicach nie wiążących się z koniecznością utrzymywania wymogu kapitałowego, zgodnie z Rozporządzenie 575/2013 UE. Należy podkreślić, że takie podejście nie ogranicza w żaden sposób rozwoju wolumenu transakcji walutowych oferowanych klientom Banku.</w:t>
      </w:r>
    </w:p>
    <w:p w14:paraId="6A764DCD"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 xml:space="preserve">Bank przykłada szczególną uwagę do rozwoju operacji z klientami i prowadzi ciągłe prace nad rozszerzeniem zakresu i udoskonaleniem oferty produktów i usług. Działania </w:t>
      </w:r>
      <w:r w:rsidRPr="00B1210A">
        <w:rPr>
          <w:rFonts w:ascii="Times New Roman" w:hAnsi="Times New Roman"/>
          <w:sz w:val="24"/>
          <w:szCs w:val="24"/>
        </w:rPr>
        <w:lastRenderedPageBreak/>
        <w:t xml:space="preserve">swoje opiera w szczególności na uelastycznieniu oferty produktowej, pozwalającej na lepsze zaspokojenie indywidualnych potrzeb klientów adekwatnie do sytuacji rynkowej. </w:t>
      </w:r>
    </w:p>
    <w:p w14:paraId="5793B160"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Zgodnie z profilem biznesowym Banku oraz strukturą jego bazy klientów, szczególny nacisk położono na dopasowywanie oferty produktowej i kanałów zawierania transakcji do potrzeb małych i średnich przedsiębiorstw prowadzących wymianę handlową z zagranicą.</w:t>
      </w:r>
    </w:p>
    <w:p w14:paraId="58088C09"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 xml:space="preserve">W ramach stosowanej polityki ograniczania ryzyka Bank dąży do utrzymywania maksymalnie zrównoważonej pozycji walutowej. </w:t>
      </w:r>
    </w:p>
    <w:p w14:paraId="5AF11F24"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Poziom ryzyka walutowego w działalności Banku z tytułu ryzyka kursowego ograniczony jest poprzez limity maksymalnej pozycji walutowej (w tym limity pozycji dla poszczególnych walut) .</w:t>
      </w:r>
    </w:p>
    <w:p w14:paraId="6F449B2A"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Wszystkie limity z zakresu ryzyka walutowego uchwala Zarząd Banku.</w:t>
      </w:r>
    </w:p>
    <w:p w14:paraId="36019A76"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Monitoring wykorzystania limitów w zakresie ryzyka walutowego realizowany jest przez osoby zatrudnione w komórce monitorowania ryzyka, z zachowaniem niezależności oceny ryzyka od działalności, która to ryzyko generuje.</w:t>
      </w:r>
    </w:p>
    <w:p w14:paraId="768F729C"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Pomiar ryzyka walutowego dokonywany jest codziennie. Do wyliczenia ryzyka walutowego wyznaczane są pozycje walutowe dla poszczególnych walut oraz pozycja całkowita dla wszystkich walut  łącznie, przeliczone na PLN po kursie średnim NBP. Wyliczenia pozycji dokonywane są zgodnie z obowiązującymi wytycznymi Prezesa Narodowego Banku Polskiego oraz Komisji Nadzoru Finansowego.</w:t>
      </w:r>
    </w:p>
    <w:p w14:paraId="782CD164" w14:textId="77777777" w:rsidR="006B19B6" w:rsidRPr="00B1210A" w:rsidRDefault="006B19B6" w:rsidP="000C62C3">
      <w:pPr>
        <w:widowControl w:val="0"/>
        <w:numPr>
          <w:ilvl w:val="0"/>
          <w:numId w:val="54"/>
        </w:numPr>
        <w:suppressAutoHyphens/>
        <w:spacing w:after="0"/>
        <w:jc w:val="both"/>
        <w:rPr>
          <w:rFonts w:ascii="Times New Roman" w:hAnsi="Times New Roman"/>
          <w:sz w:val="24"/>
          <w:szCs w:val="24"/>
        </w:rPr>
      </w:pPr>
      <w:r w:rsidRPr="00B1210A">
        <w:rPr>
          <w:rFonts w:ascii="Times New Roman" w:hAnsi="Times New Roman"/>
          <w:sz w:val="24"/>
          <w:szCs w:val="24"/>
        </w:rPr>
        <w:t>Bank zakłada, że skala działalności walutowej będzie nie znacząca, tj. udział obrotów walutowych w obrotach ogółem Banku nie przekroczy 5%.</w:t>
      </w:r>
    </w:p>
    <w:p w14:paraId="6A69D9F1" w14:textId="77777777" w:rsidR="006B19B6" w:rsidRPr="00B1210A" w:rsidRDefault="006B19B6" w:rsidP="006B19B6">
      <w:pPr>
        <w:rPr>
          <w:rFonts w:ascii="Times New Roman" w:hAnsi="Times New Roman"/>
          <w:sz w:val="24"/>
          <w:szCs w:val="24"/>
        </w:rPr>
      </w:pPr>
    </w:p>
    <w:p w14:paraId="79DAF30D" w14:textId="77777777" w:rsidR="006B19B6" w:rsidRPr="00B1210A" w:rsidRDefault="006B19B6" w:rsidP="006B19B6">
      <w:pPr>
        <w:pStyle w:val="Nagwek3"/>
        <w:keepLines w:val="0"/>
        <w:spacing w:before="240" w:after="60"/>
        <w:rPr>
          <w:rFonts w:ascii="Times New Roman" w:hAnsi="Times New Roman"/>
          <w:b/>
          <w:color w:val="auto"/>
          <w:u w:val="single"/>
        </w:rPr>
      </w:pPr>
      <w:r w:rsidRPr="00B1210A">
        <w:rPr>
          <w:rFonts w:ascii="Times New Roman" w:hAnsi="Times New Roman"/>
          <w:b/>
          <w:color w:val="auto"/>
          <w:u w:val="single"/>
        </w:rPr>
        <w:t>Ryzyko operacyjne</w:t>
      </w:r>
      <w:bookmarkEnd w:id="2"/>
      <w:r w:rsidRPr="00B1210A">
        <w:rPr>
          <w:rFonts w:ascii="Times New Roman" w:hAnsi="Times New Roman"/>
          <w:b/>
          <w:color w:val="auto"/>
          <w:u w:val="single"/>
        </w:rPr>
        <w:t xml:space="preserve">: </w:t>
      </w:r>
    </w:p>
    <w:p w14:paraId="5FAB2744" w14:textId="77777777" w:rsidR="006B19B6" w:rsidRPr="00B1210A" w:rsidRDefault="006B19B6" w:rsidP="00B1210A">
      <w:pPr>
        <w:widowControl w:val="0"/>
        <w:suppressAutoHyphens/>
        <w:ind w:left="567" w:hanging="566"/>
        <w:jc w:val="both"/>
        <w:rPr>
          <w:rFonts w:ascii="Times New Roman" w:hAnsi="Times New Roman"/>
          <w:b/>
          <w:sz w:val="24"/>
          <w:szCs w:val="24"/>
        </w:rPr>
      </w:pPr>
    </w:p>
    <w:p w14:paraId="440E4B1F" w14:textId="77777777" w:rsidR="006B19B6" w:rsidRPr="00B1210A" w:rsidRDefault="006B19B6" w:rsidP="00B1210A">
      <w:pPr>
        <w:widowControl w:val="0"/>
        <w:suppressAutoHyphens/>
        <w:ind w:left="567" w:hanging="566"/>
        <w:jc w:val="both"/>
        <w:rPr>
          <w:rFonts w:ascii="Times New Roman" w:hAnsi="Times New Roman"/>
          <w:b/>
          <w:sz w:val="24"/>
          <w:szCs w:val="24"/>
        </w:rPr>
      </w:pPr>
      <w:r w:rsidRPr="00B1210A">
        <w:rPr>
          <w:rFonts w:ascii="Times New Roman" w:hAnsi="Times New Roman"/>
          <w:b/>
          <w:sz w:val="24"/>
          <w:szCs w:val="24"/>
        </w:rPr>
        <w:t>Celem strategicznym w zakresie zarządzania ryzykiem operacyjnym jest:</w:t>
      </w:r>
    </w:p>
    <w:p w14:paraId="7364C1EB" w14:textId="77777777" w:rsidR="006B19B6" w:rsidRPr="00B1210A" w:rsidRDefault="006B19B6" w:rsidP="00B1210A">
      <w:pPr>
        <w:numPr>
          <w:ilvl w:val="0"/>
          <w:numId w:val="55"/>
        </w:numPr>
        <w:spacing w:after="0"/>
        <w:ind w:left="567" w:hanging="566"/>
        <w:jc w:val="both"/>
        <w:rPr>
          <w:rFonts w:ascii="Times New Roman" w:hAnsi="Times New Roman"/>
          <w:snapToGrid w:val="0"/>
          <w:position w:val="-10"/>
          <w:sz w:val="24"/>
          <w:szCs w:val="24"/>
        </w:rPr>
      </w:pPr>
      <w:r w:rsidRPr="00B1210A">
        <w:rPr>
          <w:rFonts w:ascii="Times New Roman" w:hAnsi="Times New Roman"/>
          <w:snapToGrid w:val="0"/>
          <w:position w:val="-10"/>
          <w:sz w:val="24"/>
          <w:szCs w:val="24"/>
        </w:rPr>
        <w:t>Utrzymanie narażenia Banku na wystąpienie strat z tytułu zdarzeń ryzyka operacyjnego na akceptowalnym przez Zarząd i Radę Nadzorczą, bezpiecznym dla działania i rozwoju poziomie,</w:t>
      </w:r>
    </w:p>
    <w:p w14:paraId="7B705685" w14:textId="77777777" w:rsidR="006B19B6" w:rsidRPr="00B1210A" w:rsidRDefault="006B19B6" w:rsidP="00B1210A">
      <w:pPr>
        <w:numPr>
          <w:ilvl w:val="0"/>
          <w:numId w:val="55"/>
        </w:numPr>
        <w:spacing w:after="0"/>
        <w:ind w:left="567" w:hanging="566"/>
        <w:jc w:val="both"/>
        <w:rPr>
          <w:rFonts w:ascii="Times New Roman" w:hAnsi="Times New Roman"/>
          <w:snapToGrid w:val="0"/>
          <w:position w:val="-10"/>
          <w:sz w:val="24"/>
          <w:szCs w:val="24"/>
        </w:rPr>
      </w:pPr>
      <w:r w:rsidRPr="00B1210A">
        <w:rPr>
          <w:rFonts w:ascii="Times New Roman" w:hAnsi="Times New Roman"/>
          <w:snapToGrid w:val="0"/>
          <w:position w:val="-10"/>
          <w:sz w:val="24"/>
          <w:szCs w:val="24"/>
        </w:rPr>
        <w:t>Optymalizacja efektywności gospodarowania poprzez zapobieganie i minimalizowanie strat operacyjnych oraz wyeliminowanie przyczyn ich powstawania, racjonalizacja kosztów, jak również zwiększenie szybkości oraz adekwatności reakcji Banku na zdarzenia niezależne od jego działań,</w:t>
      </w:r>
    </w:p>
    <w:p w14:paraId="1FB419CA" w14:textId="77777777" w:rsidR="006B19B6" w:rsidRPr="00B1210A" w:rsidRDefault="006B19B6" w:rsidP="00B1210A">
      <w:pPr>
        <w:numPr>
          <w:ilvl w:val="0"/>
          <w:numId w:val="55"/>
        </w:numPr>
        <w:spacing w:after="0"/>
        <w:ind w:left="567" w:hanging="566"/>
        <w:jc w:val="both"/>
        <w:rPr>
          <w:rFonts w:ascii="Times New Roman" w:hAnsi="Times New Roman"/>
          <w:snapToGrid w:val="0"/>
          <w:position w:val="-10"/>
          <w:sz w:val="24"/>
          <w:szCs w:val="24"/>
        </w:rPr>
      </w:pPr>
      <w:r w:rsidRPr="00B1210A">
        <w:rPr>
          <w:rFonts w:ascii="Times New Roman" w:hAnsi="Times New Roman"/>
          <w:snapToGrid w:val="0"/>
          <w:position w:val="-10"/>
          <w:sz w:val="24"/>
          <w:szCs w:val="24"/>
        </w:rPr>
        <w:t>Wdrożenie efektywnej struktury zarządzania ryzykiem operacyjnym, w tym określenie ról i odpowiedzialności w zakresie zarządzania ryzykiem operacyjnym, zgłaszania, rejestrowania i analizowania zdarzeń ryzyka operacyjnego oraz wprowadzania działań zabezpieczających,</w:t>
      </w:r>
    </w:p>
    <w:p w14:paraId="5B4E1C65" w14:textId="533048AD" w:rsidR="006B19B6" w:rsidRPr="00B1210A" w:rsidRDefault="006B19B6" w:rsidP="00B1210A">
      <w:pPr>
        <w:widowControl w:val="0"/>
        <w:suppressAutoHyphens/>
        <w:ind w:left="567" w:hanging="566"/>
        <w:jc w:val="both"/>
        <w:rPr>
          <w:rFonts w:ascii="Times New Roman" w:hAnsi="Times New Roman"/>
          <w:sz w:val="24"/>
          <w:szCs w:val="24"/>
        </w:rPr>
      </w:pPr>
    </w:p>
    <w:p w14:paraId="7E60E64B" w14:textId="77777777" w:rsidR="006F5A70" w:rsidRPr="00B1210A" w:rsidRDefault="006F5A70" w:rsidP="00B1210A">
      <w:pPr>
        <w:widowControl w:val="0"/>
        <w:suppressAutoHyphens/>
        <w:ind w:left="567" w:hanging="566"/>
        <w:jc w:val="both"/>
        <w:rPr>
          <w:rFonts w:ascii="Times New Roman" w:hAnsi="Times New Roman"/>
          <w:sz w:val="24"/>
          <w:szCs w:val="24"/>
        </w:rPr>
      </w:pPr>
    </w:p>
    <w:p w14:paraId="5EA42981" w14:textId="77777777" w:rsidR="006B19B6" w:rsidRPr="00B1210A" w:rsidRDefault="006B19B6" w:rsidP="00B1210A">
      <w:pPr>
        <w:widowControl w:val="0"/>
        <w:suppressAutoHyphens/>
        <w:ind w:left="567" w:hanging="566"/>
        <w:jc w:val="both"/>
        <w:rPr>
          <w:rFonts w:ascii="Times New Roman" w:hAnsi="Times New Roman"/>
          <w:b/>
          <w:sz w:val="24"/>
          <w:szCs w:val="24"/>
        </w:rPr>
      </w:pPr>
      <w:r w:rsidRPr="00B1210A">
        <w:rPr>
          <w:rFonts w:ascii="Times New Roman" w:hAnsi="Times New Roman"/>
          <w:b/>
          <w:sz w:val="24"/>
          <w:szCs w:val="24"/>
        </w:rPr>
        <w:lastRenderedPageBreak/>
        <w:t>Cele szczegółowe to:</w:t>
      </w:r>
    </w:p>
    <w:p w14:paraId="5AD91965"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zapewnienie świadomości występowania ryzyka operacyjnego obciążającego Bank na wszystkich szczeblach zarządzania,</w:t>
      </w:r>
    </w:p>
    <w:p w14:paraId="55B0283C"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wdrożenie i systematyczna weryfikacja procesów zapobiegania występowaniu oraz zmniejszania skutków ryzyka, odpowiednio do rodzaju ryzyka i jego możliwego wpływu na wynik Banku,</w:t>
      </w:r>
    </w:p>
    <w:p w14:paraId="620458E4"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zapewnienie opłacalności stosowania wybranych metod ograniczania ryzyka, odpowiednio do skali działania Banku i wielkości ryzyka,</w:t>
      </w:r>
    </w:p>
    <w:p w14:paraId="5BD30D86"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ochrona informacji poprzez wdrożenie metod ochrony danych osobowych w oparciu o zapisy ustawy o ochronie danych osobowych, RODO oraz zapewnienia bezpieczeństwa systemów informatycznych i informacji, zgodnie z zapisami Rekomendacji „D”,</w:t>
      </w:r>
    </w:p>
    <w:p w14:paraId="4ABAC0B2"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zapewnienie skutecznego systemu przeciwdziałania wprowadzaniu do obrotu środków pochodzących z nielegalnych źródeł oraz przeciwdziałaniu terroryzmu,</w:t>
      </w:r>
    </w:p>
    <w:p w14:paraId="797F3F88" w14:textId="77777777" w:rsidR="006B19B6" w:rsidRPr="00B1210A" w:rsidRDefault="006B19B6" w:rsidP="00B1210A">
      <w:pPr>
        <w:widowControl w:val="0"/>
        <w:numPr>
          <w:ilvl w:val="0"/>
          <w:numId w:val="56"/>
        </w:numPr>
        <w:suppressAutoHyphens/>
        <w:ind w:left="567" w:hanging="566"/>
        <w:jc w:val="both"/>
        <w:rPr>
          <w:rFonts w:ascii="Times New Roman" w:hAnsi="Times New Roman"/>
          <w:sz w:val="24"/>
          <w:szCs w:val="24"/>
        </w:rPr>
      </w:pPr>
      <w:r w:rsidRPr="00B1210A">
        <w:rPr>
          <w:rFonts w:ascii="Times New Roman" w:hAnsi="Times New Roman"/>
          <w:sz w:val="24"/>
          <w:szCs w:val="24"/>
        </w:rPr>
        <w:t xml:space="preserve">zapewnienie bezpieczeństwa płatności elektronicznych. </w:t>
      </w:r>
    </w:p>
    <w:p w14:paraId="21B54091" w14:textId="77777777" w:rsidR="006B19B6" w:rsidRPr="00ED417D" w:rsidRDefault="006B19B6" w:rsidP="006B19B6">
      <w:pPr>
        <w:widowControl w:val="0"/>
        <w:suppressAutoHyphens/>
        <w:ind w:left="708"/>
        <w:jc w:val="both"/>
        <w:rPr>
          <w:rFonts w:ascii="Times New Roman" w:hAnsi="Times New Roman"/>
          <w:color w:val="FF0000"/>
          <w:sz w:val="24"/>
          <w:szCs w:val="24"/>
        </w:rPr>
      </w:pPr>
    </w:p>
    <w:p w14:paraId="417AAD67" w14:textId="77777777" w:rsidR="006B19B6" w:rsidRPr="00B1210A" w:rsidRDefault="006B19B6" w:rsidP="006B19B6">
      <w:pPr>
        <w:widowControl w:val="0"/>
        <w:suppressAutoHyphens/>
        <w:jc w:val="both"/>
        <w:rPr>
          <w:rFonts w:ascii="Times New Roman" w:hAnsi="Times New Roman"/>
          <w:sz w:val="24"/>
          <w:szCs w:val="24"/>
        </w:rPr>
      </w:pPr>
      <w:r w:rsidRPr="00B1210A">
        <w:rPr>
          <w:rFonts w:ascii="Times New Roman" w:hAnsi="Times New Roman"/>
          <w:sz w:val="24"/>
          <w:szCs w:val="24"/>
        </w:rPr>
        <w:t>Zakładany wzrost skali działalności stanowi jednocześnie wzrost ekspozycji Banku na ryzyko operacyjne. W związku z powyższym istotnym jest zwiększenie efektywności procesu zarządzania ryzykiem operacyjnym, m.in. poprzez wzmocnienie mechanizmów kontrolnych, w celu ograniczania możliwości wystąpienia zdarzeń operacyjnych, generujących straty.</w:t>
      </w:r>
    </w:p>
    <w:p w14:paraId="1A5B2123" w14:textId="77777777" w:rsidR="006B19B6" w:rsidRPr="00B1210A" w:rsidRDefault="006B19B6" w:rsidP="006B19B6">
      <w:pPr>
        <w:widowControl w:val="0"/>
        <w:suppressAutoHyphens/>
        <w:ind w:left="708"/>
        <w:jc w:val="both"/>
        <w:rPr>
          <w:rFonts w:ascii="Times New Roman" w:hAnsi="Times New Roman"/>
          <w:sz w:val="24"/>
          <w:szCs w:val="24"/>
        </w:rPr>
      </w:pPr>
    </w:p>
    <w:p w14:paraId="3512F197" w14:textId="77777777" w:rsidR="006B19B6" w:rsidRPr="00B1210A" w:rsidRDefault="006B19B6" w:rsidP="006B19B6">
      <w:pPr>
        <w:widowControl w:val="0"/>
        <w:suppressAutoHyphens/>
        <w:jc w:val="both"/>
        <w:rPr>
          <w:rFonts w:ascii="Times New Roman" w:hAnsi="Times New Roman"/>
          <w:b/>
          <w:sz w:val="24"/>
          <w:szCs w:val="24"/>
        </w:rPr>
      </w:pPr>
      <w:r w:rsidRPr="00B1210A">
        <w:rPr>
          <w:rFonts w:ascii="Times New Roman" w:hAnsi="Times New Roman"/>
          <w:b/>
          <w:sz w:val="24"/>
          <w:szCs w:val="24"/>
        </w:rPr>
        <w:t>Celem strategicznym w zakresie systemów informatycznych i ich bezpieczeństwa, jako istotnego elementu ryzyka operacyjnego, jest:</w:t>
      </w:r>
    </w:p>
    <w:p w14:paraId="32CAF856" w14:textId="77777777" w:rsidR="006B19B6" w:rsidRPr="00B1210A" w:rsidRDefault="006B19B6" w:rsidP="000C62C3">
      <w:pPr>
        <w:widowControl w:val="0"/>
        <w:numPr>
          <w:ilvl w:val="0"/>
          <w:numId w:val="57"/>
        </w:numPr>
        <w:suppressAutoHyphens/>
        <w:spacing w:after="0"/>
        <w:jc w:val="both"/>
        <w:rPr>
          <w:rFonts w:ascii="Times New Roman" w:hAnsi="Times New Roman"/>
          <w:sz w:val="24"/>
          <w:szCs w:val="24"/>
        </w:rPr>
      </w:pPr>
      <w:r w:rsidRPr="00B1210A">
        <w:rPr>
          <w:rFonts w:ascii="Times New Roman" w:hAnsi="Times New Roman"/>
          <w:sz w:val="24"/>
          <w:szCs w:val="24"/>
        </w:rPr>
        <w:t xml:space="preserve">bieżące dostosowywanie systemu do wymogów prawa, </w:t>
      </w:r>
    </w:p>
    <w:p w14:paraId="2FA5C3D9" w14:textId="77777777" w:rsidR="006B19B6" w:rsidRPr="00B1210A" w:rsidRDefault="006B19B6" w:rsidP="000C62C3">
      <w:pPr>
        <w:widowControl w:val="0"/>
        <w:numPr>
          <w:ilvl w:val="0"/>
          <w:numId w:val="57"/>
        </w:numPr>
        <w:suppressAutoHyphens/>
        <w:spacing w:after="0"/>
        <w:jc w:val="both"/>
        <w:rPr>
          <w:rFonts w:ascii="Times New Roman" w:hAnsi="Times New Roman"/>
          <w:sz w:val="24"/>
          <w:szCs w:val="24"/>
        </w:rPr>
      </w:pPr>
      <w:r w:rsidRPr="00B1210A">
        <w:rPr>
          <w:rFonts w:ascii="Times New Roman" w:hAnsi="Times New Roman"/>
          <w:sz w:val="24"/>
          <w:szCs w:val="24"/>
        </w:rPr>
        <w:t>wprowadzanie nowych produktów,</w:t>
      </w:r>
    </w:p>
    <w:p w14:paraId="0557360D" w14:textId="77777777" w:rsidR="006B19B6" w:rsidRPr="00B1210A" w:rsidRDefault="006B19B6" w:rsidP="000C62C3">
      <w:pPr>
        <w:widowControl w:val="0"/>
        <w:numPr>
          <w:ilvl w:val="0"/>
          <w:numId w:val="57"/>
        </w:numPr>
        <w:suppressAutoHyphens/>
        <w:spacing w:after="0"/>
        <w:jc w:val="both"/>
        <w:rPr>
          <w:rFonts w:ascii="Times New Roman" w:hAnsi="Times New Roman"/>
          <w:sz w:val="24"/>
          <w:szCs w:val="24"/>
        </w:rPr>
      </w:pPr>
      <w:r w:rsidRPr="00B1210A">
        <w:rPr>
          <w:rFonts w:ascii="Times New Roman" w:hAnsi="Times New Roman"/>
          <w:sz w:val="24"/>
          <w:szCs w:val="24"/>
        </w:rPr>
        <w:t>wprowadzanie nowych wersji oprogramowania, w tym oprogramowania wspomagającego zarządzanie ryzykiem, a także programów służących bezpieczeństwu sieci i systemów informatycznych,</w:t>
      </w:r>
    </w:p>
    <w:p w14:paraId="7DC13882" w14:textId="77777777" w:rsidR="006B19B6" w:rsidRPr="00B1210A" w:rsidRDefault="006B19B6" w:rsidP="000C62C3">
      <w:pPr>
        <w:widowControl w:val="0"/>
        <w:numPr>
          <w:ilvl w:val="0"/>
          <w:numId w:val="57"/>
        </w:numPr>
        <w:suppressAutoHyphens/>
        <w:spacing w:after="0"/>
        <w:jc w:val="both"/>
        <w:rPr>
          <w:rFonts w:ascii="Times New Roman" w:hAnsi="Times New Roman"/>
          <w:sz w:val="24"/>
          <w:szCs w:val="24"/>
        </w:rPr>
      </w:pPr>
      <w:r w:rsidRPr="00B1210A">
        <w:rPr>
          <w:rFonts w:ascii="Times New Roman" w:hAnsi="Times New Roman"/>
          <w:sz w:val="24"/>
          <w:szCs w:val="24"/>
        </w:rPr>
        <w:t>bezpieczeństwo przetwarzania danych osobowych,</w:t>
      </w:r>
    </w:p>
    <w:p w14:paraId="78A1BE5F" w14:textId="77777777" w:rsidR="006B19B6" w:rsidRPr="00B1210A" w:rsidRDefault="006B19B6" w:rsidP="000C62C3">
      <w:pPr>
        <w:widowControl w:val="0"/>
        <w:numPr>
          <w:ilvl w:val="0"/>
          <w:numId w:val="57"/>
        </w:numPr>
        <w:suppressAutoHyphens/>
        <w:spacing w:after="0"/>
        <w:jc w:val="both"/>
        <w:rPr>
          <w:rFonts w:ascii="Times New Roman" w:hAnsi="Times New Roman"/>
          <w:sz w:val="24"/>
          <w:szCs w:val="24"/>
        </w:rPr>
      </w:pPr>
      <w:r w:rsidRPr="00B1210A">
        <w:rPr>
          <w:rFonts w:ascii="Times New Roman" w:hAnsi="Times New Roman"/>
          <w:sz w:val="24"/>
          <w:szCs w:val="24"/>
        </w:rPr>
        <w:t>monitorowanie zgodności z zaleceniami Rekomendacji D.</w:t>
      </w:r>
    </w:p>
    <w:p w14:paraId="7011391F" w14:textId="77777777" w:rsidR="006B19B6" w:rsidRPr="00B1210A" w:rsidRDefault="006B19B6" w:rsidP="006B19B6">
      <w:pPr>
        <w:widowControl w:val="0"/>
        <w:suppressAutoHyphens/>
        <w:ind w:left="851" w:hanging="143"/>
        <w:jc w:val="both"/>
        <w:rPr>
          <w:rFonts w:ascii="Times New Roman" w:hAnsi="Times New Roman"/>
          <w:sz w:val="24"/>
          <w:szCs w:val="24"/>
        </w:rPr>
      </w:pPr>
    </w:p>
    <w:p w14:paraId="5FC948C8" w14:textId="77777777" w:rsidR="006B19B6" w:rsidRPr="00B1210A" w:rsidRDefault="006B19B6" w:rsidP="006B19B6">
      <w:pPr>
        <w:spacing w:after="0"/>
        <w:ind w:left="284" w:hanging="284"/>
        <w:jc w:val="both"/>
        <w:rPr>
          <w:rFonts w:ascii="Times New Roman" w:hAnsi="Times New Roman"/>
          <w:b/>
          <w:sz w:val="24"/>
          <w:szCs w:val="24"/>
          <w:u w:val="single"/>
        </w:rPr>
      </w:pPr>
      <w:r w:rsidRPr="00B1210A">
        <w:rPr>
          <w:rFonts w:ascii="Times New Roman" w:hAnsi="Times New Roman"/>
          <w:b/>
          <w:sz w:val="24"/>
          <w:szCs w:val="24"/>
          <w:u w:val="single"/>
        </w:rPr>
        <w:t>Ryzyko wyniku finansowego:</w:t>
      </w:r>
    </w:p>
    <w:p w14:paraId="47F9F77F" w14:textId="77777777" w:rsidR="006B19B6" w:rsidRPr="00B1210A" w:rsidRDefault="006B19B6" w:rsidP="006B19B6">
      <w:pPr>
        <w:spacing w:after="0"/>
        <w:ind w:left="284" w:hanging="284"/>
        <w:jc w:val="both"/>
        <w:rPr>
          <w:rFonts w:ascii="Times New Roman" w:hAnsi="Times New Roman"/>
          <w:b/>
          <w:sz w:val="24"/>
          <w:szCs w:val="24"/>
        </w:rPr>
      </w:pPr>
    </w:p>
    <w:p w14:paraId="5B98B0FB" w14:textId="77777777" w:rsidR="006B19B6" w:rsidRPr="00B1210A" w:rsidRDefault="006B19B6" w:rsidP="006B19B6">
      <w:pPr>
        <w:spacing w:after="0"/>
        <w:ind w:left="284"/>
        <w:jc w:val="both"/>
        <w:rPr>
          <w:rFonts w:ascii="Times New Roman" w:hAnsi="Times New Roman"/>
          <w:b/>
          <w:sz w:val="24"/>
          <w:szCs w:val="24"/>
        </w:rPr>
      </w:pPr>
      <w:r w:rsidRPr="00B1210A">
        <w:rPr>
          <w:rFonts w:ascii="Times New Roman" w:hAnsi="Times New Roman"/>
          <w:b/>
          <w:sz w:val="24"/>
          <w:szCs w:val="24"/>
        </w:rPr>
        <w:t>Celem strategicznym w zakresie ryzyka wyniku finansowego jest wypracowanie takiej wielkości zysku, który zagwarantuje stały wzrost funduszy własnych, dostosowany do poziomu podejmowanego ryzyka.</w:t>
      </w:r>
    </w:p>
    <w:p w14:paraId="0BCA71F7" w14:textId="77777777" w:rsidR="006B19B6" w:rsidRPr="00B1210A" w:rsidRDefault="006B19B6" w:rsidP="006B19B6">
      <w:pPr>
        <w:spacing w:after="0"/>
        <w:ind w:left="284" w:hanging="284"/>
        <w:jc w:val="both"/>
        <w:rPr>
          <w:rFonts w:ascii="Times New Roman" w:hAnsi="Times New Roman"/>
          <w:b/>
          <w:sz w:val="24"/>
          <w:szCs w:val="24"/>
        </w:rPr>
      </w:pPr>
    </w:p>
    <w:p w14:paraId="7082CFF8" w14:textId="77777777" w:rsidR="006B19B6" w:rsidRPr="00B1210A" w:rsidRDefault="006B19B6" w:rsidP="006B19B6">
      <w:pPr>
        <w:spacing w:after="0"/>
        <w:ind w:left="284"/>
        <w:jc w:val="both"/>
        <w:rPr>
          <w:rFonts w:ascii="Times New Roman" w:hAnsi="Times New Roman"/>
          <w:sz w:val="24"/>
          <w:szCs w:val="24"/>
        </w:rPr>
      </w:pPr>
      <w:r w:rsidRPr="00B1210A">
        <w:rPr>
          <w:rFonts w:ascii="Times New Roman" w:hAnsi="Times New Roman"/>
          <w:sz w:val="24"/>
          <w:szCs w:val="24"/>
        </w:rPr>
        <w:lastRenderedPageBreak/>
        <w:t>Proces zarządzania ryzykiem wyniku finansowego jest elementem zarządzania ryzykiem biznesowym  i obejmuje proces planowania, w tym planowania wieloletniego (strategia działania) oraz monitorowania wykonania planu.</w:t>
      </w:r>
    </w:p>
    <w:p w14:paraId="6571429F" w14:textId="77777777" w:rsidR="006B19B6" w:rsidRPr="00B1210A" w:rsidRDefault="006B19B6" w:rsidP="006B19B6">
      <w:pPr>
        <w:spacing w:after="0"/>
        <w:ind w:left="284"/>
        <w:jc w:val="both"/>
        <w:rPr>
          <w:rFonts w:ascii="Times New Roman" w:hAnsi="Times New Roman"/>
          <w:sz w:val="24"/>
          <w:szCs w:val="24"/>
        </w:rPr>
      </w:pPr>
      <w:r w:rsidRPr="00B1210A">
        <w:rPr>
          <w:rFonts w:ascii="Times New Roman" w:hAnsi="Times New Roman"/>
          <w:sz w:val="24"/>
          <w:szCs w:val="24"/>
        </w:rPr>
        <w:t>Realizacja celu strategicznego w zakresie ryzyka biznesowego (w tym wyniku finansowego) odbywa się poprzez podejmowanie następujących działań:</w:t>
      </w:r>
    </w:p>
    <w:p w14:paraId="4515AC65"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 xml:space="preserve">Angażowanie się Banku w lokalny rozwój poprzez współpracę z klientami i jednostkami samorządu terytorialnego, </w:t>
      </w:r>
    </w:p>
    <w:p w14:paraId="6B838857"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Analiza potrzeb klientów i rozpoznanie możliwości ich zaspokajania,</w:t>
      </w:r>
    </w:p>
    <w:p w14:paraId="30124FCB"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Analiza konkurencji w zakresie rozwoju oferty oraz polityki cenowej,</w:t>
      </w:r>
    </w:p>
    <w:p w14:paraId="498BDEA9"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Dostosowanie oferty produktowej oraz cenowej do oczekiwań klientów,</w:t>
      </w:r>
    </w:p>
    <w:p w14:paraId="15E9D0EA"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Zapewnienie konkurencyjności cen oferowanych produktów,</w:t>
      </w:r>
    </w:p>
    <w:p w14:paraId="46005A7A"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Elastyczność w zakresie konstrukcji produktów oraz negocjowania cen,</w:t>
      </w:r>
    </w:p>
    <w:p w14:paraId="169BE060"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Prowadzenie działań promocyjnych i reklamowych, w tym współpraca z Bankiem Zrzeszającym, udział w lokalnych imprezach (dożynki, dni Miasta itp.),</w:t>
      </w:r>
    </w:p>
    <w:p w14:paraId="74FB857C"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Aktywizacja sprzedaży poprzez szkolenia sprzedażowe, budowanie postaw prosprzedażowych,</w:t>
      </w:r>
    </w:p>
    <w:p w14:paraId="703CD23E" w14:textId="77777777" w:rsidR="006B19B6" w:rsidRPr="00B1210A" w:rsidRDefault="006B19B6" w:rsidP="000C62C3">
      <w:pPr>
        <w:pStyle w:val="Akapitzlist"/>
        <w:numPr>
          <w:ilvl w:val="0"/>
          <w:numId w:val="34"/>
        </w:numPr>
        <w:spacing w:after="0"/>
        <w:jc w:val="both"/>
        <w:rPr>
          <w:rFonts w:ascii="Times New Roman" w:hAnsi="Times New Roman"/>
          <w:sz w:val="24"/>
          <w:szCs w:val="24"/>
        </w:rPr>
      </w:pPr>
      <w:r w:rsidRPr="00B1210A">
        <w:rPr>
          <w:rFonts w:ascii="Times New Roman" w:hAnsi="Times New Roman"/>
          <w:sz w:val="24"/>
          <w:szCs w:val="24"/>
        </w:rPr>
        <w:t>Optymalizacja kosztów poprzez między innymi automatyzację procesów obsługi klienta oraz procesów sprawozdawczych.</w:t>
      </w:r>
    </w:p>
    <w:p w14:paraId="685A7973" w14:textId="77777777" w:rsidR="006B19B6" w:rsidRPr="00B1210A" w:rsidRDefault="006B19B6" w:rsidP="006B19B6">
      <w:pPr>
        <w:spacing w:after="0"/>
        <w:jc w:val="both"/>
        <w:rPr>
          <w:rFonts w:ascii="Times New Roman" w:hAnsi="Times New Roman"/>
          <w:sz w:val="24"/>
          <w:szCs w:val="24"/>
        </w:rPr>
      </w:pPr>
      <w:r w:rsidRPr="00B1210A">
        <w:rPr>
          <w:rFonts w:ascii="Times New Roman" w:hAnsi="Times New Roman"/>
          <w:sz w:val="24"/>
          <w:szCs w:val="24"/>
        </w:rPr>
        <w:t>Bank w ramach procesu planowania określa plany sprzedażowe, przeprowadza analizę czynników mogących mieć wpływ na wynik finansowy, tworzy plany działań awaryjnych mających na celu wypracowanie założonych wyników finansowych.</w:t>
      </w:r>
    </w:p>
    <w:p w14:paraId="71F22464" w14:textId="77777777" w:rsidR="006B19B6" w:rsidRPr="00B1210A" w:rsidRDefault="006B19B6" w:rsidP="006B19B6">
      <w:pPr>
        <w:spacing w:after="0"/>
        <w:jc w:val="both"/>
        <w:rPr>
          <w:rFonts w:ascii="Times New Roman" w:hAnsi="Times New Roman"/>
          <w:sz w:val="24"/>
          <w:szCs w:val="24"/>
        </w:rPr>
      </w:pPr>
      <w:r w:rsidRPr="00B1210A">
        <w:rPr>
          <w:rFonts w:ascii="Times New Roman" w:hAnsi="Times New Roman"/>
          <w:sz w:val="24"/>
          <w:szCs w:val="24"/>
        </w:rPr>
        <w:t>Informacja o stopniu realizacji planów ekonomiczno - finansowych oraz strategicznych jest okresowo raportowana Zarządowi oraz Radzie Nadzorczej, zgodnie z Systemem Informacji Zarządczej.</w:t>
      </w:r>
    </w:p>
    <w:p w14:paraId="716AF494" w14:textId="77777777" w:rsidR="006B19B6" w:rsidRPr="00ED417D" w:rsidRDefault="006B19B6" w:rsidP="006B19B6">
      <w:pPr>
        <w:spacing w:after="0"/>
        <w:ind w:left="284" w:hanging="284"/>
        <w:jc w:val="both"/>
        <w:rPr>
          <w:rFonts w:ascii="Times New Roman" w:hAnsi="Times New Roman"/>
          <w:b/>
          <w:color w:val="FF0000"/>
          <w:sz w:val="24"/>
          <w:szCs w:val="24"/>
        </w:rPr>
      </w:pPr>
      <w:r w:rsidRPr="00ED417D">
        <w:rPr>
          <w:rFonts w:ascii="Times New Roman" w:hAnsi="Times New Roman"/>
          <w:b/>
          <w:color w:val="FF0000"/>
          <w:sz w:val="24"/>
          <w:szCs w:val="24"/>
        </w:rPr>
        <w:t xml:space="preserve"> </w:t>
      </w:r>
    </w:p>
    <w:p w14:paraId="2F35D378" w14:textId="77777777" w:rsidR="006B19B6" w:rsidRPr="00B1210A" w:rsidRDefault="006B19B6" w:rsidP="006B19B6">
      <w:pPr>
        <w:spacing w:after="0"/>
        <w:ind w:left="284" w:hanging="284"/>
        <w:jc w:val="both"/>
        <w:rPr>
          <w:rFonts w:ascii="Times New Roman" w:hAnsi="Times New Roman"/>
          <w:b/>
          <w:sz w:val="24"/>
          <w:szCs w:val="24"/>
        </w:rPr>
      </w:pPr>
    </w:p>
    <w:p w14:paraId="3EFE6641" w14:textId="77777777" w:rsidR="006B19B6" w:rsidRPr="00B1210A" w:rsidRDefault="006B19B6" w:rsidP="006B19B6">
      <w:pPr>
        <w:spacing w:after="0"/>
        <w:ind w:left="284" w:hanging="284"/>
        <w:jc w:val="both"/>
        <w:rPr>
          <w:rFonts w:ascii="Times New Roman" w:hAnsi="Times New Roman"/>
          <w:b/>
          <w:sz w:val="24"/>
          <w:szCs w:val="24"/>
          <w:u w:val="single"/>
        </w:rPr>
      </w:pPr>
      <w:r w:rsidRPr="00B1210A">
        <w:rPr>
          <w:rFonts w:ascii="Times New Roman" w:hAnsi="Times New Roman"/>
          <w:b/>
          <w:sz w:val="24"/>
          <w:szCs w:val="24"/>
          <w:u w:val="single"/>
        </w:rPr>
        <w:t>Ryzyko kapitałowe:</w:t>
      </w:r>
    </w:p>
    <w:p w14:paraId="40A5A647" w14:textId="77777777" w:rsidR="006B19B6" w:rsidRPr="00B1210A" w:rsidRDefault="006B19B6" w:rsidP="006B19B6">
      <w:pPr>
        <w:rPr>
          <w:rFonts w:ascii="Times New Roman" w:hAnsi="Times New Roman"/>
          <w:bCs/>
          <w:sz w:val="24"/>
          <w:szCs w:val="24"/>
        </w:rPr>
      </w:pPr>
    </w:p>
    <w:p w14:paraId="559CA5C0" w14:textId="35E8DFB6" w:rsidR="006B19B6" w:rsidRPr="00B1210A" w:rsidRDefault="006B19B6" w:rsidP="00B1210A">
      <w:pPr>
        <w:jc w:val="both"/>
        <w:rPr>
          <w:rFonts w:ascii="Times New Roman" w:hAnsi="Times New Roman"/>
          <w:bCs/>
          <w:sz w:val="24"/>
          <w:szCs w:val="24"/>
        </w:rPr>
      </w:pPr>
      <w:r w:rsidRPr="00B1210A">
        <w:rPr>
          <w:rFonts w:ascii="Times New Roman" w:hAnsi="Times New Roman"/>
          <w:bCs/>
          <w:sz w:val="24"/>
          <w:szCs w:val="24"/>
        </w:rPr>
        <w:t>Poziom funduszy własnych Banku powinien być dostosowany (adekwatny) do skali, złożoności i profilu ryzyka Banku.</w:t>
      </w:r>
    </w:p>
    <w:p w14:paraId="1E8B4F76" w14:textId="41DB1C10" w:rsidR="006B19B6" w:rsidRPr="00B1210A" w:rsidRDefault="006B19B6" w:rsidP="00B1210A">
      <w:pPr>
        <w:jc w:val="both"/>
        <w:rPr>
          <w:rFonts w:ascii="Times New Roman" w:hAnsi="Times New Roman"/>
          <w:b/>
          <w:bCs/>
          <w:sz w:val="24"/>
          <w:szCs w:val="24"/>
        </w:rPr>
      </w:pPr>
      <w:r w:rsidRPr="00B1210A">
        <w:rPr>
          <w:rFonts w:ascii="Times New Roman" w:hAnsi="Times New Roman"/>
          <w:b/>
          <w:bCs/>
          <w:sz w:val="24"/>
          <w:szCs w:val="24"/>
        </w:rPr>
        <w:t>Podstawowym celem strategicznym w zakresie adekwatności kapitałowej jest budowa odpowiednich funduszy własnych, zapewniających bezpieczeństwo zgromadzonych depozytów, przy osiąganiu planowanego poziomu rentowności prowadzonej działalności.</w:t>
      </w:r>
    </w:p>
    <w:p w14:paraId="61743184" w14:textId="77777777" w:rsidR="006B19B6" w:rsidRPr="00B1210A" w:rsidRDefault="006B19B6" w:rsidP="00B1210A">
      <w:pPr>
        <w:jc w:val="both"/>
        <w:rPr>
          <w:rFonts w:ascii="Times New Roman" w:hAnsi="Times New Roman"/>
          <w:bCs/>
          <w:sz w:val="24"/>
          <w:szCs w:val="24"/>
        </w:rPr>
      </w:pPr>
      <w:r w:rsidRPr="00B1210A">
        <w:rPr>
          <w:rFonts w:ascii="Times New Roman" w:hAnsi="Times New Roman"/>
          <w:bCs/>
          <w:sz w:val="24"/>
          <w:szCs w:val="24"/>
        </w:rPr>
        <w:t>Cel ten jest realizowany poprzez zarządzanie adekwatnością kapitałową obejmujące podstawowe kierunki działań (cele pośrednie):</w:t>
      </w:r>
    </w:p>
    <w:p w14:paraId="419C7204" w14:textId="77777777" w:rsidR="006B19B6" w:rsidRPr="00B1210A" w:rsidRDefault="006B19B6" w:rsidP="00B1210A">
      <w:pPr>
        <w:widowControl w:val="0"/>
        <w:numPr>
          <w:ilvl w:val="1"/>
          <w:numId w:val="39"/>
        </w:numPr>
        <w:suppressAutoHyphens/>
        <w:spacing w:after="0"/>
        <w:ind w:hanging="76"/>
        <w:rPr>
          <w:rFonts w:ascii="Times New Roman" w:hAnsi="Times New Roman"/>
          <w:bCs/>
          <w:sz w:val="24"/>
          <w:szCs w:val="24"/>
        </w:rPr>
      </w:pPr>
      <w:r w:rsidRPr="00B1210A">
        <w:rPr>
          <w:rFonts w:ascii="Times New Roman" w:hAnsi="Times New Roman"/>
          <w:bCs/>
          <w:sz w:val="24"/>
          <w:szCs w:val="24"/>
        </w:rPr>
        <w:t>sukcesywne zwiększanie wysokości funduszy własnych,</w:t>
      </w:r>
    </w:p>
    <w:p w14:paraId="29CECDDC" w14:textId="77777777" w:rsidR="006B19B6" w:rsidRPr="00B1210A" w:rsidRDefault="006B19B6" w:rsidP="000C62C3">
      <w:pPr>
        <w:widowControl w:val="0"/>
        <w:numPr>
          <w:ilvl w:val="1"/>
          <w:numId w:val="39"/>
        </w:numPr>
        <w:suppressAutoHyphens/>
        <w:spacing w:after="0"/>
        <w:ind w:left="709"/>
        <w:rPr>
          <w:rFonts w:ascii="Times New Roman" w:hAnsi="Times New Roman"/>
          <w:bCs/>
          <w:sz w:val="24"/>
          <w:szCs w:val="24"/>
        </w:rPr>
      </w:pPr>
      <w:r w:rsidRPr="00B1210A">
        <w:rPr>
          <w:rFonts w:ascii="Times New Roman" w:hAnsi="Times New Roman"/>
          <w:bCs/>
          <w:sz w:val="24"/>
          <w:szCs w:val="24"/>
        </w:rPr>
        <w:t xml:space="preserve">zapewnienie odpowiedniej struktury funduszy własnych, </w:t>
      </w:r>
    </w:p>
    <w:p w14:paraId="7DBC328E" w14:textId="77777777" w:rsidR="006B19B6" w:rsidRPr="00B1210A" w:rsidRDefault="006B19B6" w:rsidP="000C62C3">
      <w:pPr>
        <w:widowControl w:val="0"/>
        <w:numPr>
          <w:ilvl w:val="1"/>
          <w:numId w:val="39"/>
        </w:numPr>
        <w:suppressAutoHyphens/>
        <w:spacing w:after="0"/>
        <w:ind w:left="709"/>
        <w:rPr>
          <w:rFonts w:ascii="Times New Roman" w:hAnsi="Times New Roman"/>
          <w:bCs/>
          <w:sz w:val="24"/>
          <w:szCs w:val="24"/>
        </w:rPr>
      </w:pPr>
      <w:r w:rsidRPr="00B1210A">
        <w:rPr>
          <w:rFonts w:ascii="Times New Roman" w:hAnsi="Times New Roman"/>
          <w:bCs/>
          <w:sz w:val="24"/>
          <w:szCs w:val="24"/>
        </w:rPr>
        <w:t xml:space="preserve">odpowiednie kształtowanie struktury bilansu Banku w celu utrzymania planowanego poziomu wymogów kapitałowych, dostosowanych do wymagań Rozporządzenia 575/2013 UE. </w:t>
      </w:r>
    </w:p>
    <w:p w14:paraId="37EC7649" w14:textId="77777777" w:rsidR="006B19B6" w:rsidRPr="00B1210A" w:rsidRDefault="006B19B6" w:rsidP="000C62C3">
      <w:pPr>
        <w:widowControl w:val="0"/>
        <w:numPr>
          <w:ilvl w:val="1"/>
          <w:numId w:val="39"/>
        </w:numPr>
        <w:suppressAutoHyphens/>
        <w:spacing w:after="0"/>
        <w:ind w:left="709"/>
        <w:rPr>
          <w:rFonts w:ascii="Times New Roman" w:hAnsi="Times New Roman"/>
          <w:bCs/>
          <w:sz w:val="24"/>
          <w:szCs w:val="24"/>
        </w:rPr>
      </w:pPr>
      <w:r w:rsidRPr="00B1210A">
        <w:rPr>
          <w:rFonts w:ascii="Times New Roman" w:hAnsi="Times New Roman"/>
          <w:bCs/>
          <w:sz w:val="24"/>
          <w:szCs w:val="24"/>
        </w:rPr>
        <w:t>Optymalne zarządzanie ryzykiem bankowym,</w:t>
      </w:r>
    </w:p>
    <w:p w14:paraId="05829C60" w14:textId="77777777" w:rsidR="006B19B6" w:rsidRPr="00B1210A" w:rsidRDefault="006B19B6" w:rsidP="000C62C3">
      <w:pPr>
        <w:widowControl w:val="0"/>
        <w:numPr>
          <w:ilvl w:val="1"/>
          <w:numId w:val="39"/>
        </w:numPr>
        <w:suppressAutoHyphens/>
        <w:spacing w:after="0"/>
        <w:ind w:left="709"/>
        <w:rPr>
          <w:rFonts w:ascii="Times New Roman" w:hAnsi="Times New Roman"/>
          <w:bCs/>
          <w:sz w:val="24"/>
          <w:szCs w:val="24"/>
        </w:rPr>
      </w:pPr>
      <w:r w:rsidRPr="00B1210A">
        <w:rPr>
          <w:rFonts w:ascii="Times New Roman" w:hAnsi="Times New Roman"/>
          <w:bCs/>
          <w:sz w:val="24"/>
          <w:szCs w:val="24"/>
        </w:rPr>
        <w:lastRenderedPageBreak/>
        <w:t>Monitorowanie poziomu wskaźnika dźwigni finansowej,</w:t>
      </w:r>
    </w:p>
    <w:p w14:paraId="7EB5B7C8" w14:textId="77777777" w:rsidR="006B19B6" w:rsidRPr="00B1210A" w:rsidRDefault="006B19B6" w:rsidP="000C62C3">
      <w:pPr>
        <w:widowControl w:val="0"/>
        <w:numPr>
          <w:ilvl w:val="1"/>
          <w:numId w:val="39"/>
        </w:numPr>
        <w:suppressAutoHyphens/>
        <w:spacing w:after="0"/>
        <w:ind w:left="709"/>
        <w:rPr>
          <w:rFonts w:ascii="Times New Roman" w:hAnsi="Times New Roman"/>
          <w:bCs/>
          <w:sz w:val="24"/>
          <w:szCs w:val="24"/>
        </w:rPr>
      </w:pPr>
      <w:r w:rsidRPr="00B1210A">
        <w:rPr>
          <w:rFonts w:ascii="Times New Roman" w:hAnsi="Times New Roman"/>
          <w:bCs/>
          <w:sz w:val="24"/>
          <w:szCs w:val="24"/>
        </w:rPr>
        <w:t>Uwzględnianie poziomu wskaźników kapitałowych oraz wskaźnika dźwigi w określaniu Polityki dywidendowej Banku.</w:t>
      </w:r>
    </w:p>
    <w:p w14:paraId="1C587A9B" w14:textId="77777777" w:rsidR="006B19B6" w:rsidRPr="00B1210A" w:rsidRDefault="006B19B6" w:rsidP="006B19B6">
      <w:pPr>
        <w:rPr>
          <w:rFonts w:ascii="Times New Roman" w:hAnsi="Times New Roman"/>
          <w:b/>
          <w:bCs/>
          <w:sz w:val="24"/>
          <w:szCs w:val="24"/>
        </w:rPr>
      </w:pPr>
    </w:p>
    <w:p w14:paraId="09644508" w14:textId="77777777" w:rsidR="006B19B6" w:rsidRPr="00B1210A" w:rsidRDefault="006B19B6" w:rsidP="006B19B6">
      <w:pPr>
        <w:rPr>
          <w:rFonts w:ascii="Times New Roman" w:hAnsi="Times New Roman"/>
          <w:b/>
          <w:bCs/>
          <w:sz w:val="24"/>
          <w:szCs w:val="24"/>
        </w:rPr>
      </w:pPr>
      <w:r w:rsidRPr="00B1210A">
        <w:rPr>
          <w:rFonts w:ascii="Times New Roman" w:hAnsi="Times New Roman"/>
          <w:b/>
          <w:bCs/>
          <w:sz w:val="24"/>
          <w:szCs w:val="24"/>
        </w:rPr>
        <w:t>Poziom funduszy własnych:</w:t>
      </w:r>
    </w:p>
    <w:p w14:paraId="66B90AA3" w14:textId="77777777" w:rsidR="006B19B6" w:rsidRPr="00B1210A"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B1210A">
        <w:rPr>
          <w:rFonts w:ascii="Times New Roman" w:hAnsi="Times New Roman" w:cs="Times New Roman"/>
        </w:rPr>
        <w:t>Bank jest zobowiązany utrzymywać Kapitał założycielski w wysokości nie niższej niż równowartość 1 000 000 euro, przeliczonej według kursu średniego ogłaszanego przez NBP, obowiązującego w dniu sprawozdawczym.</w:t>
      </w:r>
    </w:p>
    <w:p w14:paraId="63D9FB09" w14:textId="77777777" w:rsidR="006B19B6" w:rsidRPr="00B1210A"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B1210A">
        <w:rPr>
          <w:rFonts w:ascii="Times New Roman" w:hAnsi="Times New Roman" w:cs="Times New Roman"/>
        </w:rPr>
        <w:t>Bank jest zobowiązany do utrzymywania sumy funduszy własnych na poziomie nie niższym niż wyższa z następujących wartości:</w:t>
      </w:r>
    </w:p>
    <w:p w14:paraId="3C8070B8" w14:textId="77777777" w:rsidR="006B19B6" w:rsidRPr="00B1210A" w:rsidRDefault="006B19B6" w:rsidP="000C62C3">
      <w:pPr>
        <w:pStyle w:val="Tekstkomentarza1"/>
        <w:numPr>
          <w:ilvl w:val="0"/>
          <w:numId w:val="41"/>
        </w:numPr>
        <w:tabs>
          <w:tab w:val="clear" w:pos="1065"/>
          <w:tab w:val="num" w:pos="321"/>
        </w:tabs>
        <w:spacing w:line="276" w:lineRule="auto"/>
        <w:rPr>
          <w:szCs w:val="24"/>
        </w:rPr>
      </w:pPr>
      <w:r w:rsidRPr="00B1210A">
        <w:rPr>
          <w:szCs w:val="24"/>
        </w:rPr>
        <w:t>suma wymogów kapitałowych z tytułu poszczególnych rodzajów ryzyka oraz wymogów kapitałowych z tytułu przekroczenia limitów i naruszenia innych norm określonych w ustawie Prawo bankowe, powiększonych o bufory kapitału (bezpieczeństwa i antycykliczny), z uwzględnieniem okresów przejściowych określonych w pakiecie CRD IV / CRR.</w:t>
      </w:r>
    </w:p>
    <w:p w14:paraId="267124A1" w14:textId="77777777" w:rsidR="006B19B6" w:rsidRPr="00B1210A" w:rsidRDefault="006B19B6" w:rsidP="000C62C3">
      <w:pPr>
        <w:pStyle w:val="Tekstkomentarza1"/>
        <w:numPr>
          <w:ilvl w:val="0"/>
          <w:numId w:val="41"/>
        </w:numPr>
        <w:tabs>
          <w:tab w:val="clear" w:pos="1065"/>
          <w:tab w:val="num" w:pos="321"/>
        </w:tabs>
        <w:spacing w:line="276" w:lineRule="auto"/>
        <w:rPr>
          <w:szCs w:val="24"/>
        </w:rPr>
      </w:pPr>
      <w:r w:rsidRPr="00B1210A">
        <w:rPr>
          <w:szCs w:val="24"/>
        </w:rPr>
        <w:t>oszacowana przez bank kwota, niezbędna do pokrycia wszystkich zidentyfikowanych, istotnych rodzajów ryzyka występujących w działalności banku oraz zmian otoczenia gospodarczego, uwzględniająca przewidywany poziom ryzyka (kapitał wewnętrzny), powiększona o bufory kapitału (bezpieczeństwa i antycykliczny), z uwzględnieniem okresów przejściowych określonych w pakiecie CRD IV / CRR.</w:t>
      </w:r>
    </w:p>
    <w:p w14:paraId="5D96E989" w14:textId="437AD112" w:rsidR="006B19B6" w:rsidRPr="00B1210A"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B1210A">
        <w:rPr>
          <w:rFonts w:ascii="Times New Roman" w:hAnsi="Times New Roman" w:cs="Times New Roman"/>
        </w:rPr>
        <w:t>Bank jest zobowiązany do utrzymywania łącznego wskaźnika kapitałowego (TCR) na poziomie co najmniej 1</w:t>
      </w:r>
      <w:r w:rsidR="00A60D0F">
        <w:rPr>
          <w:rFonts w:ascii="Times New Roman" w:hAnsi="Times New Roman" w:cs="Times New Roman"/>
        </w:rPr>
        <w:t>3</w:t>
      </w:r>
      <w:r w:rsidRPr="00B1210A">
        <w:rPr>
          <w:rFonts w:ascii="Times New Roman" w:hAnsi="Times New Roman" w:cs="Times New Roman"/>
        </w:rPr>
        <w:t>,</w:t>
      </w:r>
      <w:r w:rsidR="001929C7" w:rsidRPr="00B1210A">
        <w:rPr>
          <w:rFonts w:ascii="Times New Roman" w:hAnsi="Times New Roman" w:cs="Times New Roman"/>
        </w:rPr>
        <w:t>50</w:t>
      </w:r>
      <w:r w:rsidRPr="00B1210A">
        <w:rPr>
          <w:rFonts w:ascii="Times New Roman" w:hAnsi="Times New Roman" w:cs="Times New Roman"/>
        </w:rPr>
        <w:t xml:space="preserve">%, oraz współczynnika kapitału TIER 1 (T1) na poziomie nie niższym niż </w:t>
      </w:r>
      <w:r w:rsidR="00A60D0F">
        <w:rPr>
          <w:rFonts w:ascii="Times New Roman" w:hAnsi="Times New Roman" w:cs="Times New Roman"/>
        </w:rPr>
        <w:t>11</w:t>
      </w:r>
      <w:r w:rsidRPr="00B1210A">
        <w:rPr>
          <w:rFonts w:ascii="Times New Roman" w:hAnsi="Times New Roman" w:cs="Times New Roman"/>
        </w:rPr>
        <w:t>,5</w:t>
      </w:r>
      <w:r w:rsidR="001929C7" w:rsidRPr="00B1210A">
        <w:rPr>
          <w:rFonts w:ascii="Times New Roman" w:hAnsi="Times New Roman" w:cs="Times New Roman"/>
        </w:rPr>
        <w:t>0</w:t>
      </w:r>
      <w:r w:rsidRPr="00B1210A">
        <w:rPr>
          <w:rFonts w:ascii="Times New Roman" w:hAnsi="Times New Roman" w:cs="Times New Roman"/>
        </w:rPr>
        <w:t>%.</w:t>
      </w:r>
    </w:p>
    <w:p w14:paraId="018A1DB1" w14:textId="5DAD291F" w:rsidR="006B19B6" w:rsidRPr="00B1210A"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B1210A">
        <w:rPr>
          <w:rFonts w:ascii="Times New Roman" w:hAnsi="Times New Roman" w:cs="Times New Roman"/>
        </w:rPr>
        <w:t>W przypadku obniżenia łącznego wskaźnika kapitałowego poniżej poziomu 1</w:t>
      </w:r>
      <w:r w:rsidR="00A60D0F">
        <w:rPr>
          <w:rFonts w:ascii="Times New Roman" w:hAnsi="Times New Roman" w:cs="Times New Roman"/>
        </w:rPr>
        <w:t>3</w:t>
      </w:r>
      <w:r w:rsidRPr="00B1210A">
        <w:rPr>
          <w:rFonts w:ascii="Times New Roman" w:hAnsi="Times New Roman" w:cs="Times New Roman"/>
        </w:rPr>
        <w:t>,5%, Bank przeprowadza szczegółową analizę wymogów kapitałowych kształtujących poziom łącznego wskaźnika kapitałowego oraz podejmuje działania ograniczające poszczególne rodzaje ryzyka.</w:t>
      </w:r>
    </w:p>
    <w:p w14:paraId="2AA1B883" w14:textId="77777777" w:rsidR="006B19B6" w:rsidRPr="004E2595"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B1210A">
        <w:rPr>
          <w:rFonts w:ascii="Times New Roman" w:hAnsi="Times New Roman" w:cs="Times New Roman"/>
        </w:rPr>
        <w:t xml:space="preserve">Bank jest zobowiązany do przeprowadzenia przeglądu i weryfikacji procesu szacowania </w:t>
      </w:r>
      <w:r w:rsidRPr="00B1210A">
        <w:rPr>
          <w:rFonts w:ascii="Times New Roman" w:hAnsi="Times New Roman" w:cs="Times New Roman"/>
        </w:rPr>
        <w:br/>
        <w:t xml:space="preserve">i utrzymania kapitału wewnętrznego nie rzadziej niż raz do roku, w celu zapewnienia, </w:t>
      </w:r>
      <w:r w:rsidRPr="004E2595">
        <w:rPr>
          <w:rFonts w:ascii="Times New Roman" w:hAnsi="Times New Roman" w:cs="Times New Roman"/>
        </w:rPr>
        <w:t>że proces ten jest kompleksowy i odpowiedni do charakteru, skali i złożoności działalności.</w:t>
      </w:r>
    </w:p>
    <w:p w14:paraId="19304FB0" w14:textId="77777777" w:rsidR="006B19B6" w:rsidRPr="004E2595"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4E2595">
        <w:rPr>
          <w:rFonts w:ascii="Times New Roman" w:hAnsi="Times New Roman" w:cs="Times New Roman"/>
        </w:rPr>
        <w:t>Niezależnie od rocznych przeglądów, proces szacowania kapitału wewnętrznego jest odpowiednio dostosowywany w szczególności w sytuacji pojawienia się nowych rodzajów ryzyka, znaczących zmian w strategii i planach działania oraz środowisku zewnętrznym, w którym działa Bank.</w:t>
      </w:r>
    </w:p>
    <w:p w14:paraId="6D6DC699" w14:textId="77777777" w:rsidR="006B19B6" w:rsidRPr="004E2595"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4E2595">
        <w:rPr>
          <w:rFonts w:ascii="Times New Roman" w:hAnsi="Times New Roman" w:cs="Times New Roman"/>
        </w:rPr>
        <w:t>Bank dostosowuje strategię i politykę budowy funduszy własnych do wymagań pakietu CRD IV / CRR. Bank spełnia normy kapitałowe określone w pakiecie CRD IV / CRR .</w:t>
      </w:r>
    </w:p>
    <w:p w14:paraId="2768D1DC" w14:textId="77777777" w:rsidR="006B19B6" w:rsidRPr="004E2595" w:rsidRDefault="006B19B6" w:rsidP="000C62C3">
      <w:pPr>
        <w:pStyle w:val="Tekstpodstawowy2"/>
        <w:numPr>
          <w:ilvl w:val="0"/>
          <w:numId w:val="42"/>
        </w:numPr>
        <w:tabs>
          <w:tab w:val="clear" w:pos="360"/>
          <w:tab w:val="num" w:pos="-384"/>
        </w:tabs>
        <w:spacing w:line="276" w:lineRule="auto"/>
        <w:rPr>
          <w:rFonts w:ascii="Times New Roman" w:hAnsi="Times New Roman" w:cs="Times New Roman"/>
        </w:rPr>
      </w:pPr>
      <w:r w:rsidRPr="004E2595">
        <w:rPr>
          <w:rFonts w:ascii="Times New Roman" w:hAnsi="Times New Roman" w:cs="Times New Roman"/>
        </w:rPr>
        <w:t>W celu utrzymania wskaźników kapitałowych na wymaganym poziomie Bank podejmuje następujące działania:</w:t>
      </w:r>
    </w:p>
    <w:p w14:paraId="7B47A0F0" w14:textId="77777777"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t>Wzrost funduszu zasobowego z tytułu odpisu z zysku w kolejnych latach,</w:t>
      </w:r>
    </w:p>
    <w:p w14:paraId="05F603FD" w14:textId="77777777"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t>Analiza zasad tworzenia wymogów kapitałowych,</w:t>
      </w:r>
    </w:p>
    <w:p w14:paraId="4A03AA7F" w14:textId="77777777"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t>Zmiana struktury aktywów pod kątem wag ryzyka,</w:t>
      </w:r>
    </w:p>
    <w:p w14:paraId="09B09CB6" w14:textId="77777777"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lastRenderedPageBreak/>
        <w:t>Zmiana struktury aktywów na bardziej dochodowe,</w:t>
      </w:r>
    </w:p>
    <w:p w14:paraId="5778AC09" w14:textId="77777777"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t>Sprzedaż części portfela kredytowego.</w:t>
      </w:r>
    </w:p>
    <w:p w14:paraId="4B6CBEC5" w14:textId="02C171CC" w:rsidR="006B19B6" w:rsidRPr="004E2595" w:rsidRDefault="006B19B6" w:rsidP="000C62C3">
      <w:pPr>
        <w:pStyle w:val="Tekstpodstawowy2"/>
        <w:numPr>
          <w:ilvl w:val="1"/>
          <w:numId w:val="58"/>
        </w:numPr>
        <w:spacing w:line="276" w:lineRule="auto"/>
        <w:rPr>
          <w:rFonts w:ascii="Times New Roman" w:hAnsi="Times New Roman" w:cs="Times New Roman"/>
        </w:rPr>
      </w:pPr>
      <w:r w:rsidRPr="004E2595">
        <w:rPr>
          <w:rFonts w:ascii="Times New Roman" w:hAnsi="Times New Roman" w:cs="Times New Roman"/>
        </w:rPr>
        <w:t>Inne</w:t>
      </w:r>
      <w:r w:rsidR="004E2595" w:rsidRPr="004E2595">
        <w:rPr>
          <w:rFonts w:ascii="Times New Roman" w:hAnsi="Times New Roman" w:cs="Times New Roman"/>
        </w:rPr>
        <w:t>.</w:t>
      </w:r>
    </w:p>
    <w:p w14:paraId="25DF5BD1" w14:textId="77777777" w:rsidR="006B19B6" w:rsidRPr="004E2595" w:rsidRDefault="006B19B6" w:rsidP="006B19B6">
      <w:pPr>
        <w:pStyle w:val="Tekstpodstawowy2"/>
        <w:spacing w:line="276" w:lineRule="auto"/>
        <w:rPr>
          <w:rFonts w:ascii="Times New Roman" w:hAnsi="Times New Roman" w:cs="Times New Roman"/>
        </w:rPr>
      </w:pPr>
      <w:r w:rsidRPr="004E2595">
        <w:rPr>
          <w:rFonts w:ascii="Times New Roman" w:hAnsi="Times New Roman" w:cs="Times New Roman"/>
        </w:rPr>
        <w:t>Ww. działania mają za zadanie osiągnięcie wskaźników kapitałowych zatwierdzonych przez Radę Nadzorczą.</w:t>
      </w:r>
    </w:p>
    <w:p w14:paraId="04D22903" w14:textId="77777777" w:rsidR="006B19B6" w:rsidRPr="004E2595" w:rsidRDefault="006B19B6" w:rsidP="006B19B6">
      <w:pPr>
        <w:pStyle w:val="Tekstpodstawowy2"/>
        <w:spacing w:line="276" w:lineRule="auto"/>
      </w:pPr>
    </w:p>
    <w:p w14:paraId="0D7C0187" w14:textId="77777777" w:rsidR="006B19B6" w:rsidRPr="004E2595" w:rsidRDefault="006B19B6" w:rsidP="00F31854">
      <w:pPr>
        <w:jc w:val="both"/>
        <w:rPr>
          <w:rFonts w:ascii="Times New Roman" w:hAnsi="Times New Roman"/>
          <w:b/>
          <w:bCs/>
          <w:sz w:val="24"/>
          <w:szCs w:val="24"/>
        </w:rPr>
      </w:pPr>
      <w:r w:rsidRPr="004E2595">
        <w:rPr>
          <w:rFonts w:ascii="Times New Roman" w:hAnsi="Times New Roman"/>
          <w:b/>
          <w:bCs/>
          <w:sz w:val="24"/>
          <w:szCs w:val="24"/>
        </w:rPr>
        <w:t>Budowa funduszy własnych:</w:t>
      </w:r>
    </w:p>
    <w:p w14:paraId="69535CAD" w14:textId="77777777" w:rsidR="006B19B6" w:rsidRPr="00865705" w:rsidRDefault="006B19B6" w:rsidP="00F31854">
      <w:pPr>
        <w:pStyle w:val="Akapitzlist"/>
        <w:widowControl w:val="0"/>
        <w:numPr>
          <w:ilvl w:val="0"/>
          <w:numId w:val="59"/>
        </w:numPr>
        <w:suppressAutoHyphens/>
        <w:spacing w:after="0"/>
        <w:jc w:val="both"/>
        <w:rPr>
          <w:rFonts w:ascii="Times New Roman" w:hAnsi="Times New Roman"/>
          <w:bCs/>
          <w:sz w:val="24"/>
          <w:szCs w:val="24"/>
        </w:rPr>
      </w:pPr>
      <w:r w:rsidRPr="00865705">
        <w:rPr>
          <w:rFonts w:ascii="Times New Roman" w:hAnsi="Times New Roman"/>
          <w:bCs/>
          <w:sz w:val="24"/>
          <w:szCs w:val="24"/>
        </w:rPr>
        <w:t xml:space="preserve">Podstawowym źródłem budowy funduszy własnych jest wynik finansowy. </w:t>
      </w:r>
    </w:p>
    <w:p w14:paraId="3E174160" w14:textId="59C0C4D6" w:rsidR="006B19B6" w:rsidRPr="00865705" w:rsidRDefault="006B19B6" w:rsidP="00F31854">
      <w:pPr>
        <w:pStyle w:val="Akapitzlist"/>
        <w:widowControl w:val="0"/>
        <w:numPr>
          <w:ilvl w:val="0"/>
          <w:numId w:val="59"/>
        </w:numPr>
        <w:suppressAutoHyphens/>
        <w:spacing w:after="0"/>
        <w:jc w:val="both"/>
        <w:rPr>
          <w:rFonts w:ascii="Times New Roman" w:hAnsi="Times New Roman"/>
          <w:bCs/>
          <w:sz w:val="24"/>
          <w:szCs w:val="24"/>
        </w:rPr>
      </w:pPr>
      <w:r w:rsidRPr="00865705">
        <w:rPr>
          <w:rFonts w:ascii="Times New Roman" w:hAnsi="Times New Roman"/>
          <w:bCs/>
          <w:sz w:val="24"/>
          <w:szCs w:val="24"/>
        </w:rPr>
        <w:t xml:space="preserve">Wieloletni plan budowy funduszy własnych (cele kapitałowe, oczekiwana wielkość kapitałów, polityka dywidendowa) Bank ujmuje w zatwierdzanej przez Radę Nadzorczą Strategii </w:t>
      </w:r>
      <w:r w:rsidR="00F31854" w:rsidRPr="00865705">
        <w:rPr>
          <w:rFonts w:ascii="Times New Roman" w:hAnsi="Times New Roman"/>
          <w:bCs/>
          <w:sz w:val="24"/>
          <w:szCs w:val="24"/>
        </w:rPr>
        <w:t>rozwoju</w:t>
      </w:r>
      <w:r w:rsidRPr="00865705">
        <w:rPr>
          <w:rFonts w:ascii="Times New Roman" w:hAnsi="Times New Roman"/>
          <w:bCs/>
          <w:sz w:val="24"/>
          <w:szCs w:val="24"/>
        </w:rPr>
        <w:t xml:space="preserve">, natomiast szczegółowe zamierzenia w tym zakresie ujęte są w Polityce kapitałowej, stanowiącej </w:t>
      </w:r>
      <w:r w:rsidR="00210393" w:rsidRPr="00865705">
        <w:rPr>
          <w:rFonts w:ascii="Times New Roman" w:hAnsi="Times New Roman"/>
          <w:bCs/>
          <w:sz w:val="24"/>
          <w:szCs w:val="24"/>
        </w:rPr>
        <w:t>integralną część</w:t>
      </w:r>
      <w:r w:rsidRPr="00865705">
        <w:rPr>
          <w:rFonts w:ascii="Times New Roman" w:hAnsi="Times New Roman"/>
          <w:bCs/>
          <w:sz w:val="24"/>
          <w:szCs w:val="24"/>
        </w:rPr>
        <w:t xml:space="preserve"> planu ekonomiczno-finansowego.</w:t>
      </w:r>
    </w:p>
    <w:p w14:paraId="1D33C244" w14:textId="77777777" w:rsidR="006B19B6" w:rsidRPr="00865705" w:rsidRDefault="006B19B6" w:rsidP="00F31854">
      <w:pPr>
        <w:pStyle w:val="Akapitzlist"/>
        <w:widowControl w:val="0"/>
        <w:numPr>
          <w:ilvl w:val="0"/>
          <w:numId w:val="59"/>
        </w:numPr>
        <w:suppressAutoHyphens/>
        <w:spacing w:after="0"/>
        <w:jc w:val="both"/>
        <w:rPr>
          <w:rFonts w:ascii="Times New Roman" w:hAnsi="Times New Roman"/>
          <w:bCs/>
          <w:sz w:val="24"/>
          <w:szCs w:val="24"/>
        </w:rPr>
      </w:pPr>
      <w:r w:rsidRPr="00865705">
        <w:rPr>
          <w:rFonts w:ascii="Times New Roman" w:hAnsi="Times New Roman"/>
          <w:bCs/>
          <w:sz w:val="24"/>
          <w:szCs w:val="24"/>
        </w:rPr>
        <w:t>Bank analizuje wpływ wystąpienia warunków skrajnych (spadek funduszy, wzrost wymogów kapitałowych) na wskaźnik kapitałowy i na podstawie tych analiz opracowuje i weryfikuje plany awaryjne w zakresie adekwatności kapitałowej.</w:t>
      </w:r>
    </w:p>
    <w:p w14:paraId="65B05BA1" w14:textId="77777777" w:rsidR="006B19B6" w:rsidRPr="00865705" w:rsidRDefault="006B19B6" w:rsidP="00F31854">
      <w:pPr>
        <w:pStyle w:val="Akapitzlist"/>
        <w:widowControl w:val="0"/>
        <w:numPr>
          <w:ilvl w:val="0"/>
          <w:numId w:val="59"/>
        </w:numPr>
        <w:suppressAutoHyphens/>
        <w:spacing w:after="0"/>
        <w:jc w:val="both"/>
        <w:rPr>
          <w:rFonts w:ascii="Times New Roman" w:hAnsi="Times New Roman"/>
          <w:bCs/>
          <w:sz w:val="24"/>
          <w:szCs w:val="24"/>
        </w:rPr>
      </w:pPr>
      <w:r w:rsidRPr="00865705">
        <w:rPr>
          <w:rFonts w:ascii="Times New Roman" w:hAnsi="Times New Roman"/>
          <w:bCs/>
          <w:sz w:val="24"/>
          <w:szCs w:val="24"/>
        </w:rPr>
        <w:t xml:space="preserve">Bank wykorzystuje testy warunków skrajnych do określania buforu kapitału w postaci nadwyżki ponad wymagalny  minimalny wskaźnik kapitałowy oraz w postaci określonych w Polityce kapitałowej planów awaryjnych zwiększenia funduszy własnych. </w:t>
      </w:r>
    </w:p>
    <w:p w14:paraId="39B820C8" w14:textId="77777777" w:rsidR="006B19B6" w:rsidRPr="00865705" w:rsidRDefault="006B19B6" w:rsidP="00865705">
      <w:pPr>
        <w:pStyle w:val="Default"/>
        <w:numPr>
          <w:ilvl w:val="0"/>
          <w:numId w:val="59"/>
        </w:numPr>
        <w:spacing w:line="276" w:lineRule="auto"/>
        <w:jc w:val="both"/>
        <w:rPr>
          <w:rFonts w:ascii="Times New Roman" w:hAnsi="Times New Roman" w:cs="Times New Roman"/>
          <w:color w:val="auto"/>
        </w:rPr>
      </w:pPr>
      <w:r w:rsidRPr="00865705">
        <w:rPr>
          <w:rFonts w:ascii="Times New Roman" w:hAnsi="Times New Roman" w:cs="Times New Roman"/>
          <w:color w:val="auto"/>
        </w:rPr>
        <w:t xml:space="preserve">Bank w rocznych planach finansowych oraz w planach perspektywicznych uwzględnia gospodarkę funduszami własnymi, mającą na celu optymalizację wzrostu posiadanych przez Bank funduszy własnych. </w:t>
      </w:r>
    </w:p>
    <w:p w14:paraId="67CE64B5" w14:textId="77777777" w:rsidR="006B19B6" w:rsidRPr="00865705" w:rsidRDefault="006B19B6" w:rsidP="00865705">
      <w:pPr>
        <w:pStyle w:val="Default"/>
        <w:numPr>
          <w:ilvl w:val="0"/>
          <w:numId w:val="59"/>
        </w:numPr>
        <w:spacing w:line="276" w:lineRule="auto"/>
        <w:jc w:val="both"/>
        <w:rPr>
          <w:rFonts w:ascii="Times New Roman" w:hAnsi="Times New Roman" w:cs="Times New Roman"/>
          <w:color w:val="auto"/>
        </w:rPr>
      </w:pPr>
      <w:r w:rsidRPr="00865705">
        <w:rPr>
          <w:rFonts w:ascii="Times New Roman" w:hAnsi="Times New Roman" w:cs="Times New Roman"/>
          <w:color w:val="auto"/>
        </w:rPr>
        <w:t xml:space="preserve">Strategia kształtowania funduszy własnych podlega analizie pod względem jej dostosowania do aktualnej sytuacji Banku po zakończeniu każdego roku kalendarzowego. </w:t>
      </w:r>
    </w:p>
    <w:p w14:paraId="73FA5B9A" w14:textId="135E0CED" w:rsidR="006B19B6" w:rsidRPr="00865705" w:rsidRDefault="006B19B6" w:rsidP="00F31854">
      <w:pPr>
        <w:pStyle w:val="Akapitzlist"/>
        <w:widowControl w:val="0"/>
        <w:numPr>
          <w:ilvl w:val="0"/>
          <w:numId w:val="59"/>
        </w:numPr>
        <w:suppressAutoHyphens/>
        <w:spacing w:after="0"/>
        <w:jc w:val="both"/>
        <w:rPr>
          <w:rFonts w:ascii="Times New Roman" w:hAnsi="Times New Roman" w:cs="Times New Roman"/>
          <w:bCs/>
          <w:sz w:val="24"/>
          <w:szCs w:val="24"/>
        </w:rPr>
      </w:pPr>
      <w:r w:rsidRPr="00865705">
        <w:rPr>
          <w:rFonts w:ascii="Times New Roman" w:hAnsi="Times New Roman" w:cs="Times New Roman"/>
          <w:bCs/>
          <w:sz w:val="24"/>
          <w:szCs w:val="24"/>
        </w:rPr>
        <w:t xml:space="preserve">Wieloletni plan funduszy własnych zawarty jest w Strategii </w:t>
      </w:r>
      <w:r w:rsidR="00210393" w:rsidRPr="00865705">
        <w:rPr>
          <w:rFonts w:ascii="Times New Roman" w:hAnsi="Times New Roman" w:cs="Times New Roman"/>
          <w:bCs/>
          <w:sz w:val="24"/>
          <w:szCs w:val="24"/>
        </w:rPr>
        <w:t>rozwoju</w:t>
      </w:r>
      <w:r w:rsidRPr="00865705">
        <w:rPr>
          <w:rFonts w:ascii="Times New Roman" w:hAnsi="Times New Roman" w:cs="Times New Roman"/>
          <w:bCs/>
          <w:sz w:val="24"/>
          <w:szCs w:val="24"/>
        </w:rPr>
        <w:t xml:space="preserve"> Banku</w:t>
      </w:r>
      <w:r w:rsidR="00210393" w:rsidRPr="00865705">
        <w:rPr>
          <w:rFonts w:ascii="Times New Roman" w:hAnsi="Times New Roman" w:cs="Times New Roman"/>
          <w:bCs/>
          <w:sz w:val="24"/>
          <w:szCs w:val="24"/>
        </w:rPr>
        <w:t xml:space="preserve"> na lata 2019 </w:t>
      </w:r>
      <w:r w:rsidR="00865705">
        <w:rPr>
          <w:rFonts w:ascii="Times New Roman" w:hAnsi="Times New Roman" w:cs="Times New Roman"/>
          <w:bCs/>
          <w:sz w:val="24"/>
          <w:szCs w:val="24"/>
        </w:rPr>
        <w:t>–</w:t>
      </w:r>
      <w:r w:rsidR="00210393" w:rsidRPr="00865705">
        <w:rPr>
          <w:rFonts w:ascii="Times New Roman" w:hAnsi="Times New Roman" w:cs="Times New Roman"/>
          <w:bCs/>
          <w:sz w:val="24"/>
          <w:szCs w:val="24"/>
        </w:rPr>
        <w:t xml:space="preserve"> 2023</w:t>
      </w:r>
      <w:r w:rsidR="00865705">
        <w:rPr>
          <w:rFonts w:ascii="Times New Roman" w:hAnsi="Times New Roman" w:cs="Times New Roman"/>
          <w:bCs/>
          <w:sz w:val="24"/>
          <w:szCs w:val="24"/>
        </w:rPr>
        <w:t>.</w:t>
      </w:r>
      <w:r w:rsidRPr="00865705">
        <w:rPr>
          <w:rFonts w:ascii="Times New Roman" w:hAnsi="Times New Roman" w:cs="Times New Roman"/>
          <w:bCs/>
          <w:sz w:val="24"/>
          <w:szCs w:val="24"/>
        </w:rPr>
        <w:t xml:space="preserve"> </w:t>
      </w:r>
    </w:p>
    <w:p w14:paraId="669919B4" w14:textId="77777777" w:rsidR="006B19B6" w:rsidRPr="00865705" w:rsidRDefault="006B19B6" w:rsidP="00F31854">
      <w:pPr>
        <w:pStyle w:val="Tekstpodstawowy"/>
        <w:numPr>
          <w:ilvl w:val="0"/>
          <w:numId w:val="59"/>
        </w:numPr>
        <w:spacing w:line="276" w:lineRule="auto"/>
        <w:jc w:val="both"/>
        <w:rPr>
          <w:sz w:val="24"/>
        </w:rPr>
      </w:pPr>
      <w:r w:rsidRPr="00865705">
        <w:rPr>
          <w:sz w:val="24"/>
        </w:rPr>
        <w:t xml:space="preserve">Bank dąży do kształtowania zaangażowania kapitałowego w instytucjach finansowych </w:t>
      </w:r>
      <w:r w:rsidRPr="00865705">
        <w:rPr>
          <w:sz w:val="24"/>
        </w:rPr>
        <w:br/>
        <w:t>i bankach w taki sposób, aby umniejszenie funduszy własnych banku z tego tytułu nie stanowiło zagrożenia dla bieżącej i przyszłej adekwatności kapitałowej banku.</w:t>
      </w:r>
    </w:p>
    <w:p w14:paraId="1A7C0AD9" w14:textId="77777777" w:rsidR="006B19B6" w:rsidRPr="00865705" w:rsidRDefault="006B19B6" w:rsidP="00F31854">
      <w:pPr>
        <w:pStyle w:val="Tekstpodstawowy"/>
        <w:numPr>
          <w:ilvl w:val="0"/>
          <w:numId w:val="59"/>
        </w:numPr>
        <w:spacing w:line="276" w:lineRule="auto"/>
        <w:jc w:val="both"/>
        <w:rPr>
          <w:sz w:val="24"/>
        </w:rPr>
      </w:pPr>
      <w:r w:rsidRPr="00865705">
        <w:rPr>
          <w:sz w:val="24"/>
        </w:rPr>
        <w:t>W celu ograniczenia zagrożeń, o których mowa w ust. 4, w banku ustalane są odpowiednie limity dotyczące inwestycji kapitałowych w podmiotach finansowych.</w:t>
      </w:r>
    </w:p>
    <w:p w14:paraId="23B8F55C" w14:textId="77777777" w:rsidR="006B19B6" w:rsidRPr="00865705" w:rsidRDefault="006B19B6" w:rsidP="00F31854">
      <w:pPr>
        <w:pStyle w:val="Tekstpodstawowy"/>
        <w:numPr>
          <w:ilvl w:val="0"/>
          <w:numId w:val="59"/>
        </w:numPr>
        <w:spacing w:line="276" w:lineRule="auto"/>
        <w:jc w:val="both"/>
        <w:rPr>
          <w:sz w:val="24"/>
        </w:rPr>
      </w:pPr>
      <w:r w:rsidRPr="00865705">
        <w:rPr>
          <w:sz w:val="24"/>
        </w:rPr>
        <w:t xml:space="preserve">Bank w planach finansowych uwzględnia gospodarkę funduszami własnymi banku, mającą na celu optymalizację wzrostu posiadanych przez bank funduszy własnych banku, które winny być dostosowane do profilu ryzyka występującego realnie w banku, </w:t>
      </w:r>
      <w:r w:rsidRPr="00865705">
        <w:rPr>
          <w:sz w:val="24"/>
        </w:rPr>
        <w:br/>
        <w:t>z uwzględnieniem specyficznego charakteru jego działania oraz wyliczeń dotyczących dodatkowych wymogów kapitałowych.</w:t>
      </w:r>
    </w:p>
    <w:p w14:paraId="48609A6E" w14:textId="77777777" w:rsidR="006B19B6" w:rsidRPr="00556D31" w:rsidRDefault="006B19B6" w:rsidP="00556D31">
      <w:pPr>
        <w:jc w:val="both"/>
        <w:rPr>
          <w:rFonts w:ascii="Times New Roman" w:hAnsi="Times New Roman"/>
          <w:b/>
          <w:bCs/>
          <w:sz w:val="24"/>
          <w:szCs w:val="24"/>
        </w:rPr>
      </w:pPr>
      <w:r w:rsidRPr="00556D31">
        <w:rPr>
          <w:rFonts w:ascii="Times New Roman" w:hAnsi="Times New Roman"/>
          <w:b/>
          <w:bCs/>
          <w:sz w:val="24"/>
          <w:szCs w:val="24"/>
        </w:rPr>
        <w:t>Wymogi kapitałowe:</w:t>
      </w:r>
    </w:p>
    <w:p w14:paraId="3D115058" w14:textId="77777777" w:rsidR="006B19B6" w:rsidRPr="00556D31" w:rsidRDefault="006B19B6" w:rsidP="00556D31">
      <w:pPr>
        <w:widowControl w:val="0"/>
        <w:numPr>
          <w:ilvl w:val="0"/>
          <w:numId w:val="40"/>
        </w:numPr>
        <w:suppressAutoHyphens/>
        <w:spacing w:after="0"/>
        <w:ind w:left="567" w:hanging="567"/>
        <w:jc w:val="both"/>
        <w:rPr>
          <w:rFonts w:ascii="Times New Roman" w:hAnsi="Times New Roman"/>
          <w:bCs/>
          <w:sz w:val="24"/>
          <w:szCs w:val="24"/>
        </w:rPr>
      </w:pPr>
      <w:r w:rsidRPr="00556D31">
        <w:rPr>
          <w:rFonts w:ascii="Times New Roman" w:hAnsi="Times New Roman"/>
          <w:bCs/>
          <w:sz w:val="24"/>
          <w:szCs w:val="24"/>
        </w:rPr>
        <w:t>Bank tworzy minimalne wymogi kapitałowe na ryzyka ujęte w Rozporządzeniu UE.</w:t>
      </w:r>
    </w:p>
    <w:p w14:paraId="5C440666" w14:textId="77777777" w:rsidR="006B19B6" w:rsidRPr="00556D31" w:rsidRDefault="006B19B6" w:rsidP="00556D31">
      <w:pPr>
        <w:widowControl w:val="0"/>
        <w:numPr>
          <w:ilvl w:val="0"/>
          <w:numId w:val="40"/>
        </w:numPr>
        <w:suppressAutoHyphens/>
        <w:spacing w:after="0"/>
        <w:ind w:left="567" w:hanging="567"/>
        <w:jc w:val="both"/>
        <w:rPr>
          <w:rFonts w:ascii="Times New Roman" w:hAnsi="Times New Roman" w:cs="Times New Roman"/>
          <w:bCs/>
          <w:sz w:val="24"/>
          <w:szCs w:val="24"/>
        </w:rPr>
      </w:pPr>
      <w:r w:rsidRPr="00556D31">
        <w:rPr>
          <w:rFonts w:ascii="Times New Roman" w:hAnsi="Times New Roman" w:cs="Times New Roman"/>
          <w:bCs/>
          <w:sz w:val="24"/>
          <w:szCs w:val="24"/>
        </w:rPr>
        <w:t>Bank analizuje inne istotne rodzaje ryzyka, na które tworzy dodatkowe wymogi kapitałowe.</w:t>
      </w:r>
    </w:p>
    <w:p w14:paraId="38B66D5E" w14:textId="704A5D3B" w:rsidR="006B19B6" w:rsidRPr="00E0124B" w:rsidRDefault="006B19B6" w:rsidP="00556D31">
      <w:pPr>
        <w:widowControl w:val="0"/>
        <w:numPr>
          <w:ilvl w:val="0"/>
          <w:numId w:val="40"/>
        </w:numPr>
        <w:suppressAutoHyphens/>
        <w:spacing w:after="0"/>
        <w:ind w:left="567" w:hanging="567"/>
        <w:jc w:val="both"/>
        <w:rPr>
          <w:rFonts w:ascii="Times New Roman" w:hAnsi="Times New Roman" w:cs="Times New Roman"/>
          <w:bCs/>
          <w:sz w:val="24"/>
          <w:szCs w:val="24"/>
        </w:rPr>
      </w:pPr>
      <w:r w:rsidRPr="00E0124B">
        <w:rPr>
          <w:rFonts w:ascii="Times New Roman" w:hAnsi="Times New Roman" w:cs="Times New Roman"/>
          <w:bCs/>
          <w:sz w:val="24"/>
          <w:szCs w:val="24"/>
        </w:rPr>
        <w:t xml:space="preserve">W ramach </w:t>
      </w:r>
      <w:r w:rsidR="00E0124B" w:rsidRPr="00E0124B">
        <w:rPr>
          <w:rFonts w:ascii="Times New Roman" w:hAnsi="Times New Roman" w:cs="Times New Roman"/>
          <w:bCs/>
          <w:sz w:val="24"/>
          <w:szCs w:val="24"/>
        </w:rPr>
        <w:t xml:space="preserve">Polityki </w:t>
      </w:r>
      <w:r w:rsidRPr="00E0124B">
        <w:rPr>
          <w:rFonts w:ascii="Times New Roman" w:hAnsi="Times New Roman" w:cs="Times New Roman"/>
          <w:bCs/>
          <w:sz w:val="24"/>
          <w:szCs w:val="24"/>
        </w:rPr>
        <w:t xml:space="preserve">kapitałowej określone są limity alokacji kapitału z tytułu </w:t>
      </w:r>
      <w:r w:rsidRPr="00E0124B">
        <w:rPr>
          <w:rFonts w:ascii="Times New Roman" w:hAnsi="Times New Roman" w:cs="Times New Roman"/>
          <w:bCs/>
          <w:sz w:val="24"/>
          <w:szCs w:val="24"/>
        </w:rPr>
        <w:lastRenderedPageBreak/>
        <w:t>poszczególnych rodzajów ryzyka, dostosowane do skali, złożoności i poziomu ryzyka występującego w Banku.</w:t>
      </w:r>
    </w:p>
    <w:p w14:paraId="498E81B8" w14:textId="77777777" w:rsidR="006B19B6" w:rsidRPr="00E0124B" w:rsidRDefault="006B19B6" w:rsidP="00556D31">
      <w:pPr>
        <w:widowControl w:val="0"/>
        <w:numPr>
          <w:ilvl w:val="0"/>
          <w:numId w:val="40"/>
        </w:numPr>
        <w:suppressAutoHyphens/>
        <w:spacing w:after="0"/>
        <w:ind w:left="567" w:hanging="567"/>
        <w:jc w:val="both"/>
        <w:rPr>
          <w:rFonts w:ascii="Times New Roman" w:hAnsi="Times New Roman" w:cs="Times New Roman"/>
          <w:bCs/>
          <w:sz w:val="24"/>
          <w:szCs w:val="24"/>
        </w:rPr>
      </w:pPr>
      <w:r w:rsidRPr="00E0124B">
        <w:rPr>
          <w:rFonts w:ascii="Times New Roman" w:hAnsi="Times New Roman" w:cs="Times New Roman"/>
          <w:bCs/>
          <w:sz w:val="24"/>
          <w:szCs w:val="24"/>
        </w:rPr>
        <w:t>Analizie poddaje się przestrzeganie ww. limitów, a każde przekroczenie jest sygnalizowane Zarządowi i Radzie Nadzorczej wraz z informacjami na temat podjętych działań w celu uniknięcia takiej sytuacji w przyszłości.</w:t>
      </w:r>
    </w:p>
    <w:p w14:paraId="7B135020" w14:textId="77777777" w:rsidR="006B19B6" w:rsidRPr="00E0124B" w:rsidRDefault="006B19B6" w:rsidP="00556D31">
      <w:pPr>
        <w:widowControl w:val="0"/>
        <w:numPr>
          <w:ilvl w:val="0"/>
          <w:numId w:val="40"/>
        </w:numPr>
        <w:suppressAutoHyphens/>
        <w:spacing w:after="0"/>
        <w:ind w:left="567" w:hanging="567"/>
        <w:jc w:val="both"/>
        <w:rPr>
          <w:rFonts w:ascii="Times New Roman" w:hAnsi="Times New Roman" w:cs="Times New Roman"/>
          <w:bCs/>
          <w:sz w:val="24"/>
          <w:szCs w:val="24"/>
        </w:rPr>
      </w:pPr>
      <w:r w:rsidRPr="00E0124B">
        <w:rPr>
          <w:rFonts w:ascii="Times New Roman" w:hAnsi="Times New Roman" w:cs="Times New Roman"/>
          <w:bCs/>
          <w:sz w:val="24"/>
          <w:szCs w:val="24"/>
        </w:rPr>
        <w:t xml:space="preserve">Bank dokonuje okresowego przeglądu procesu szacowania wymogów wewnętrznych. Wyniki przeglądu są prezentowane Zarządowi i Radzie Nadzorczej.   </w:t>
      </w:r>
    </w:p>
    <w:p w14:paraId="2EF5C520" w14:textId="77777777" w:rsidR="006B19B6" w:rsidRPr="00E0124B" w:rsidRDefault="006B19B6" w:rsidP="00556D31">
      <w:pPr>
        <w:pStyle w:val="Default"/>
        <w:numPr>
          <w:ilvl w:val="0"/>
          <w:numId w:val="40"/>
        </w:numPr>
        <w:spacing w:line="276" w:lineRule="auto"/>
        <w:ind w:left="567" w:hanging="567"/>
        <w:jc w:val="both"/>
        <w:rPr>
          <w:rFonts w:ascii="Times New Roman" w:hAnsi="Times New Roman" w:cs="Times New Roman"/>
          <w:color w:val="auto"/>
        </w:rPr>
      </w:pPr>
      <w:r w:rsidRPr="00E0124B">
        <w:rPr>
          <w:rFonts w:ascii="Times New Roman" w:hAnsi="Times New Roman" w:cs="Times New Roman"/>
          <w:color w:val="auto"/>
        </w:rPr>
        <w:t xml:space="preserve">Bank dąży do kształtowania jednostkowego zaangażowania kapitałowego w instytucjach finansowych i bankach (akcje i udziały, zobowiązania podporządkowane, dopłaty na rzecz spółek prawa handlowego) tak, aby nie stanowiło ono przekroczenia limitów, o których mowa w Rozporządzeniu 575/2013 UE. </w:t>
      </w:r>
    </w:p>
    <w:p w14:paraId="25982CE0" w14:textId="77777777" w:rsidR="006B19B6" w:rsidRPr="00E0124B" w:rsidRDefault="006B19B6" w:rsidP="00556D31">
      <w:pPr>
        <w:pStyle w:val="Default"/>
        <w:numPr>
          <w:ilvl w:val="0"/>
          <w:numId w:val="40"/>
        </w:numPr>
        <w:spacing w:line="276" w:lineRule="auto"/>
        <w:ind w:left="567" w:hanging="567"/>
        <w:jc w:val="both"/>
        <w:rPr>
          <w:rFonts w:ascii="Times New Roman" w:hAnsi="Times New Roman" w:cs="Times New Roman"/>
          <w:color w:val="auto"/>
        </w:rPr>
      </w:pPr>
      <w:r w:rsidRPr="00E0124B">
        <w:rPr>
          <w:rFonts w:ascii="Times New Roman" w:hAnsi="Times New Roman" w:cs="Times New Roman"/>
          <w:color w:val="auto"/>
        </w:rPr>
        <w:t xml:space="preserve">Ustalane przez Bank plany w zakresie kapitału wewnętrznego oraz poziomu wyznaczanego wewnętrznego wymogu kapitałowego są dostosowane do profilu ryzyka występującego realnie w Banku, z uwzględnieniem specyficznego charakteru jego działania. </w:t>
      </w:r>
    </w:p>
    <w:p w14:paraId="59FE5574" w14:textId="77777777" w:rsidR="006B19B6" w:rsidRPr="003E0C3D" w:rsidRDefault="006B19B6" w:rsidP="00556D31">
      <w:pPr>
        <w:jc w:val="both"/>
        <w:rPr>
          <w:rFonts w:ascii="Times New Roman" w:hAnsi="Times New Roman"/>
          <w:bCs/>
          <w:sz w:val="24"/>
          <w:szCs w:val="24"/>
        </w:rPr>
      </w:pPr>
    </w:p>
    <w:p w14:paraId="0D21394E" w14:textId="77777777" w:rsidR="006B19B6" w:rsidRPr="003E0C3D" w:rsidRDefault="006B19B6" w:rsidP="00556D31">
      <w:pPr>
        <w:jc w:val="both"/>
        <w:rPr>
          <w:rFonts w:ascii="Times New Roman" w:hAnsi="Times New Roman"/>
          <w:b/>
          <w:bCs/>
          <w:sz w:val="24"/>
          <w:szCs w:val="24"/>
        </w:rPr>
      </w:pPr>
      <w:r w:rsidRPr="003E0C3D">
        <w:rPr>
          <w:rFonts w:ascii="Times New Roman" w:hAnsi="Times New Roman"/>
          <w:b/>
          <w:bCs/>
          <w:sz w:val="24"/>
          <w:szCs w:val="24"/>
        </w:rPr>
        <w:t>Zarządzanie ryzykami:</w:t>
      </w:r>
    </w:p>
    <w:p w14:paraId="3A216EA1" w14:textId="77777777" w:rsidR="003E0C3D" w:rsidRPr="003E0C3D" w:rsidRDefault="003E0C3D" w:rsidP="003E0C3D">
      <w:pPr>
        <w:pStyle w:val="Akapitzlist"/>
        <w:numPr>
          <w:ilvl w:val="0"/>
          <w:numId w:val="37"/>
        </w:numPr>
        <w:ind w:left="426" w:hanging="426"/>
        <w:rPr>
          <w:rFonts w:ascii="Times New Roman" w:hAnsi="Times New Roman"/>
          <w:bCs/>
          <w:sz w:val="24"/>
          <w:szCs w:val="24"/>
        </w:rPr>
      </w:pPr>
      <w:r w:rsidRPr="003E0C3D">
        <w:rPr>
          <w:rFonts w:ascii="Times New Roman" w:hAnsi="Times New Roman"/>
          <w:bCs/>
          <w:sz w:val="24"/>
          <w:szCs w:val="24"/>
        </w:rPr>
        <w:t>Bank podejmuje ryzyko na poziomie zapewniającym utrzymanie łącznego wskaźnika kapitałowego (TCR) oraz pozostałych wskaźników kapitałowych na poziomie nie niższym niż wymagany minimalny poziom regulacyjny, zgodnie ze wskazaniem Ustawy o nadzorze makroostrożnościowym.</w:t>
      </w:r>
    </w:p>
    <w:p w14:paraId="7176F79E" w14:textId="77777777" w:rsidR="006B19B6" w:rsidRPr="003E0C3D" w:rsidRDefault="006B19B6" w:rsidP="00556D31">
      <w:pPr>
        <w:widowControl w:val="0"/>
        <w:numPr>
          <w:ilvl w:val="0"/>
          <w:numId w:val="37"/>
        </w:numPr>
        <w:suppressAutoHyphens/>
        <w:spacing w:after="0"/>
        <w:ind w:left="426" w:hanging="426"/>
        <w:jc w:val="both"/>
        <w:rPr>
          <w:rFonts w:ascii="Times New Roman" w:hAnsi="Times New Roman"/>
          <w:bCs/>
          <w:sz w:val="24"/>
          <w:szCs w:val="24"/>
        </w:rPr>
      </w:pPr>
      <w:r w:rsidRPr="003E0C3D">
        <w:rPr>
          <w:rFonts w:ascii="Times New Roman" w:hAnsi="Times New Roman"/>
          <w:bCs/>
          <w:sz w:val="24"/>
          <w:szCs w:val="24"/>
        </w:rPr>
        <w:t>W cyklach co najmniej rocznych Bank dokonuje weryfikacji istotności ryzyk, uwzględniając kryteria ilościowe i jakościowe.</w:t>
      </w:r>
    </w:p>
    <w:p w14:paraId="7C065125" w14:textId="77777777" w:rsidR="006B19B6" w:rsidRPr="003E0C3D" w:rsidRDefault="006B19B6" w:rsidP="00556D31">
      <w:pPr>
        <w:widowControl w:val="0"/>
        <w:numPr>
          <w:ilvl w:val="0"/>
          <w:numId w:val="37"/>
        </w:numPr>
        <w:suppressAutoHyphens/>
        <w:spacing w:after="0"/>
        <w:ind w:left="426" w:hanging="426"/>
        <w:jc w:val="both"/>
        <w:rPr>
          <w:rFonts w:ascii="Times New Roman" w:hAnsi="Times New Roman"/>
          <w:bCs/>
          <w:sz w:val="24"/>
          <w:szCs w:val="24"/>
        </w:rPr>
      </w:pPr>
      <w:r w:rsidRPr="003E0C3D">
        <w:rPr>
          <w:rFonts w:ascii="Times New Roman" w:hAnsi="Times New Roman"/>
          <w:bCs/>
          <w:sz w:val="24"/>
          <w:szCs w:val="24"/>
        </w:rPr>
        <w:t>Bank tworzy procedury zarządzania ryzykami istotnymi w Banku, zatwierdzane przez Zarząd Banku.</w:t>
      </w:r>
    </w:p>
    <w:p w14:paraId="1963F640" w14:textId="77777777" w:rsidR="006B19B6" w:rsidRPr="003E0C3D" w:rsidRDefault="006B19B6" w:rsidP="00556D31">
      <w:pPr>
        <w:widowControl w:val="0"/>
        <w:numPr>
          <w:ilvl w:val="0"/>
          <w:numId w:val="37"/>
        </w:numPr>
        <w:suppressAutoHyphens/>
        <w:spacing w:after="0"/>
        <w:ind w:left="426" w:hanging="426"/>
        <w:jc w:val="both"/>
        <w:rPr>
          <w:rFonts w:ascii="Times New Roman" w:hAnsi="Times New Roman"/>
          <w:bCs/>
          <w:sz w:val="24"/>
          <w:szCs w:val="24"/>
        </w:rPr>
      </w:pPr>
      <w:r w:rsidRPr="003E0C3D">
        <w:rPr>
          <w:rFonts w:ascii="Times New Roman" w:hAnsi="Times New Roman"/>
          <w:bCs/>
          <w:sz w:val="24"/>
          <w:szCs w:val="24"/>
        </w:rPr>
        <w:t>Procedury zawierają zapisy dotyczące przekształcania miar ryzyka na wymogi kapitałowe.</w:t>
      </w:r>
    </w:p>
    <w:p w14:paraId="2AEAA7D4" w14:textId="77777777" w:rsidR="006B19B6" w:rsidRPr="003E0C3D" w:rsidRDefault="006B19B6" w:rsidP="00556D31">
      <w:pPr>
        <w:widowControl w:val="0"/>
        <w:numPr>
          <w:ilvl w:val="0"/>
          <w:numId w:val="37"/>
        </w:numPr>
        <w:suppressAutoHyphens/>
        <w:spacing w:after="0"/>
        <w:ind w:left="426" w:hanging="426"/>
        <w:jc w:val="both"/>
        <w:rPr>
          <w:rFonts w:ascii="Times New Roman" w:hAnsi="Times New Roman"/>
          <w:bCs/>
          <w:sz w:val="24"/>
          <w:szCs w:val="24"/>
        </w:rPr>
      </w:pPr>
      <w:r w:rsidRPr="003E0C3D">
        <w:rPr>
          <w:rFonts w:ascii="Times New Roman" w:hAnsi="Times New Roman"/>
          <w:bCs/>
          <w:sz w:val="24"/>
          <w:szCs w:val="24"/>
        </w:rPr>
        <w:t>Bank podejmuje ryzyko odpowiednio do posiadanych funduszy własnych.</w:t>
      </w:r>
    </w:p>
    <w:p w14:paraId="07353ACC" w14:textId="77777777" w:rsidR="006B19B6" w:rsidRPr="003E0C3D" w:rsidRDefault="006B19B6" w:rsidP="00556D31">
      <w:pPr>
        <w:tabs>
          <w:tab w:val="left" w:pos="284"/>
        </w:tabs>
        <w:jc w:val="both"/>
        <w:rPr>
          <w:rFonts w:ascii="Times New Roman" w:hAnsi="Times New Roman"/>
          <w:b/>
          <w:bCs/>
          <w:sz w:val="24"/>
          <w:szCs w:val="24"/>
        </w:rPr>
      </w:pPr>
    </w:p>
    <w:p w14:paraId="201D623A" w14:textId="77777777" w:rsidR="006B19B6" w:rsidRPr="003E0C3D" w:rsidRDefault="006B19B6" w:rsidP="00556D31">
      <w:pPr>
        <w:tabs>
          <w:tab w:val="left" w:pos="284"/>
        </w:tabs>
        <w:jc w:val="both"/>
        <w:rPr>
          <w:rFonts w:ascii="Times New Roman" w:hAnsi="Times New Roman"/>
          <w:b/>
          <w:bCs/>
          <w:sz w:val="24"/>
          <w:szCs w:val="24"/>
        </w:rPr>
      </w:pPr>
      <w:r w:rsidRPr="003E0C3D">
        <w:rPr>
          <w:rFonts w:ascii="Times New Roman" w:hAnsi="Times New Roman"/>
          <w:b/>
          <w:bCs/>
          <w:sz w:val="24"/>
          <w:szCs w:val="24"/>
        </w:rPr>
        <w:t>Długofalowe cele kapitałowe:</w:t>
      </w:r>
    </w:p>
    <w:p w14:paraId="224E14CD" w14:textId="77777777" w:rsidR="006B19B6" w:rsidRPr="003E0C3D" w:rsidRDefault="006B19B6" w:rsidP="00556D31">
      <w:pPr>
        <w:pStyle w:val="Tekstpodstawowy"/>
        <w:numPr>
          <w:ilvl w:val="0"/>
          <w:numId w:val="46"/>
        </w:numPr>
        <w:spacing w:line="276" w:lineRule="auto"/>
        <w:ind w:left="360"/>
        <w:jc w:val="both"/>
        <w:rPr>
          <w:sz w:val="24"/>
        </w:rPr>
      </w:pPr>
      <w:r w:rsidRPr="003E0C3D">
        <w:rPr>
          <w:sz w:val="24"/>
        </w:rPr>
        <w:t>Realizacja celów kapitałowych odbywa się poprzez podejmowanie decyzji kapitałowych z zakresu struktury finansowania, podziału zysku oraz polityki dywidendowej.</w:t>
      </w:r>
    </w:p>
    <w:p w14:paraId="2880CC20" w14:textId="77777777" w:rsidR="006B19B6" w:rsidRPr="00FA6360" w:rsidRDefault="006B19B6" w:rsidP="00556D31">
      <w:pPr>
        <w:pStyle w:val="Tekstpodstawowy"/>
        <w:numPr>
          <w:ilvl w:val="0"/>
          <w:numId w:val="46"/>
        </w:numPr>
        <w:spacing w:line="276" w:lineRule="auto"/>
        <w:ind w:left="360"/>
        <w:jc w:val="both"/>
        <w:rPr>
          <w:sz w:val="24"/>
        </w:rPr>
      </w:pPr>
      <w:r w:rsidRPr="00FA6360">
        <w:rPr>
          <w:sz w:val="24"/>
        </w:rPr>
        <w:t>Bank przyjmuje następujące długoterminowe cele kapitałowe:</w:t>
      </w:r>
    </w:p>
    <w:p w14:paraId="70239E52" w14:textId="7CE6FBE4" w:rsidR="006B19B6" w:rsidRPr="00FA6360" w:rsidRDefault="006B19B6" w:rsidP="00556D31">
      <w:pPr>
        <w:pStyle w:val="Tekstpodstawowy"/>
        <w:numPr>
          <w:ilvl w:val="0"/>
          <w:numId w:val="45"/>
        </w:numPr>
        <w:tabs>
          <w:tab w:val="clear" w:pos="1068"/>
          <w:tab w:val="num" w:pos="-384"/>
        </w:tabs>
        <w:spacing w:line="276" w:lineRule="auto"/>
        <w:ind w:left="708"/>
        <w:jc w:val="both"/>
        <w:rPr>
          <w:sz w:val="24"/>
        </w:rPr>
      </w:pPr>
      <w:r w:rsidRPr="00FA6360">
        <w:rPr>
          <w:sz w:val="24"/>
        </w:rPr>
        <w:t>dąży do posiadania funduszy własnych banku zapewniających utrzymanie łącznego wskaźnika kapitałowego (TCR) na poziomie co najmniej 1</w:t>
      </w:r>
      <w:r w:rsidR="00A60D0F">
        <w:rPr>
          <w:sz w:val="24"/>
        </w:rPr>
        <w:t>3</w:t>
      </w:r>
      <w:r w:rsidRPr="00FA6360">
        <w:rPr>
          <w:sz w:val="24"/>
        </w:rPr>
        <w:t>,5%;</w:t>
      </w:r>
    </w:p>
    <w:p w14:paraId="217DA08F" w14:textId="77777777" w:rsidR="006B19B6" w:rsidRPr="00FA6360" w:rsidRDefault="006B19B6" w:rsidP="00556D31">
      <w:pPr>
        <w:pStyle w:val="Tekstpodstawowy"/>
        <w:numPr>
          <w:ilvl w:val="0"/>
          <w:numId w:val="45"/>
        </w:numPr>
        <w:tabs>
          <w:tab w:val="clear" w:pos="1068"/>
          <w:tab w:val="num" w:pos="-24"/>
        </w:tabs>
        <w:spacing w:line="276" w:lineRule="auto"/>
        <w:ind w:left="708"/>
        <w:jc w:val="both"/>
        <w:rPr>
          <w:sz w:val="24"/>
        </w:rPr>
      </w:pPr>
      <w:r w:rsidRPr="00FA6360">
        <w:rPr>
          <w:sz w:val="24"/>
        </w:rPr>
        <w:t>dąży do uzyskania następującej struktury funduszy podstawowych:</w:t>
      </w:r>
    </w:p>
    <w:p w14:paraId="6B854FA9" w14:textId="3BF5AAFB" w:rsidR="006B19B6" w:rsidRPr="00FA6360" w:rsidRDefault="006B19B6" w:rsidP="00556D31">
      <w:pPr>
        <w:pStyle w:val="Tekstpodstawowy"/>
        <w:numPr>
          <w:ilvl w:val="0"/>
          <w:numId w:val="43"/>
        </w:numPr>
        <w:tabs>
          <w:tab w:val="clear" w:pos="720"/>
          <w:tab w:val="num" w:pos="684"/>
        </w:tabs>
        <w:spacing w:line="276" w:lineRule="auto"/>
        <w:ind w:left="1068"/>
        <w:jc w:val="both"/>
        <w:rPr>
          <w:sz w:val="24"/>
        </w:rPr>
      </w:pPr>
      <w:r w:rsidRPr="00FA6360">
        <w:rPr>
          <w:sz w:val="24"/>
        </w:rPr>
        <w:t xml:space="preserve">fundusz udziałowy: maksimum </w:t>
      </w:r>
      <w:r w:rsidR="00210393" w:rsidRPr="00FA6360">
        <w:rPr>
          <w:sz w:val="24"/>
        </w:rPr>
        <w:t>5</w:t>
      </w:r>
      <w:r w:rsidRPr="00FA6360">
        <w:rPr>
          <w:sz w:val="24"/>
        </w:rPr>
        <w:t>%,</w:t>
      </w:r>
    </w:p>
    <w:p w14:paraId="744DEBB2" w14:textId="74AC1C2E" w:rsidR="006B19B6" w:rsidRPr="00FA6360" w:rsidRDefault="006B19B6" w:rsidP="00556D31">
      <w:pPr>
        <w:pStyle w:val="Tekstpodstawowy"/>
        <w:numPr>
          <w:ilvl w:val="0"/>
          <w:numId w:val="43"/>
        </w:numPr>
        <w:tabs>
          <w:tab w:val="clear" w:pos="720"/>
          <w:tab w:val="num" w:pos="336"/>
        </w:tabs>
        <w:spacing w:line="276" w:lineRule="auto"/>
        <w:ind w:left="1068"/>
        <w:jc w:val="both"/>
        <w:rPr>
          <w:sz w:val="24"/>
        </w:rPr>
      </w:pPr>
      <w:r w:rsidRPr="00FA6360">
        <w:rPr>
          <w:sz w:val="24"/>
        </w:rPr>
        <w:t xml:space="preserve">pozostałe fundusze łącznie:  minimum </w:t>
      </w:r>
      <w:r w:rsidR="00210393" w:rsidRPr="00FA6360">
        <w:rPr>
          <w:sz w:val="24"/>
        </w:rPr>
        <w:t>95</w:t>
      </w:r>
      <w:r w:rsidRPr="00FA6360">
        <w:rPr>
          <w:sz w:val="24"/>
        </w:rPr>
        <w:t>%;</w:t>
      </w:r>
    </w:p>
    <w:p w14:paraId="6C57FBAE" w14:textId="74073EA6" w:rsidR="006B19B6" w:rsidRPr="00FA6360" w:rsidRDefault="006B19B6" w:rsidP="00556D31">
      <w:pPr>
        <w:pStyle w:val="Tekstpodstawowy"/>
        <w:numPr>
          <w:ilvl w:val="0"/>
          <w:numId w:val="45"/>
        </w:numPr>
        <w:tabs>
          <w:tab w:val="clear" w:pos="1068"/>
          <w:tab w:val="num" w:pos="-372"/>
        </w:tabs>
        <w:spacing w:line="276" w:lineRule="auto"/>
        <w:ind w:left="708"/>
        <w:jc w:val="both"/>
        <w:rPr>
          <w:sz w:val="24"/>
        </w:rPr>
      </w:pPr>
      <w:r w:rsidRPr="00FA6360">
        <w:rPr>
          <w:sz w:val="24"/>
        </w:rPr>
        <w:t xml:space="preserve">przeznacza co najmniej </w:t>
      </w:r>
      <w:r w:rsidR="00210393" w:rsidRPr="00FA6360">
        <w:rPr>
          <w:sz w:val="24"/>
        </w:rPr>
        <w:t>5</w:t>
      </w:r>
      <w:r w:rsidRPr="00FA6360">
        <w:rPr>
          <w:sz w:val="24"/>
        </w:rPr>
        <w:t>0% wypracowanego zysku rocznego netto na zwiększenie funduszy własnych banku; poziom odpisów z zysku jest uwarunkowany m.in.:</w:t>
      </w:r>
    </w:p>
    <w:p w14:paraId="065F3155" w14:textId="77777777" w:rsidR="006B19B6" w:rsidRPr="00FA6360" w:rsidRDefault="006B19B6" w:rsidP="00556D31">
      <w:pPr>
        <w:pStyle w:val="Tekstpodstawowy"/>
        <w:numPr>
          <w:ilvl w:val="0"/>
          <w:numId w:val="44"/>
        </w:numPr>
        <w:tabs>
          <w:tab w:val="clear" w:pos="720"/>
          <w:tab w:val="num" w:pos="-12"/>
        </w:tabs>
        <w:spacing w:line="276" w:lineRule="auto"/>
        <w:ind w:left="1068"/>
        <w:jc w:val="both"/>
        <w:rPr>
          <w:sz w:val="24"/>
        </w:rPr>
      </w:pPr>
      <w:r w:rsidRPr="00FA6360">
        <w:rPr>
          <w:sz w:val="24"/>
        </w:rPr>
        <w:t>strategią rozwoju banku,</w:t>
      </w:r>
    </w:p>
    <w:p w14:paraId="0CF44BBF" w14:textId="77777777" w:rsidR="006B19B6" w:rsidRPr="00FA6360" w:rsidRDefault="006B19B6" w:rsidP="00210393">
      <w:pPr>
        <w:pStyle w:val="Tekstpodstawowy"/>
        <w:numPr>
          <w:ilvl w:val="0"/>
          <w:numId w:val="44"/>
        </w:numPr>
        <w:tabs>
          <w:tab w:val="clear" w:pos="720"/>
          <w:tab w:val="num" w:pos="-12"/>
        </w:tabs>
        <w:spacing w:line="276" w:lineRule="auto"/>
        <w:ind w:left="1068"/>
        <w:jc w:val="both"/>
        <w:rPr>
          <w:sz w:val="24"/>
        </w:rPr>
      </w:pPr>
      <w:r w:rsidRPr="00FA6360">
        <w:rPr>
          <w:sz w:val="24"/>
        </w:rPr>
        <w:t>bieżącą adekwatnością kapitałową banku,</w:t>
      </w:r>
    </w:p>
    <w:p w14:paraId="130A84E7" w14:textId="77777777" w:rsidR="006B19B6" w:rsidRPr="00FA6360" w:rsidRDefault="006B19B6" w:rsidP="00210393">
      <w:pPr>
        <w:pStyle w:val="Tekstpodstawowy"/>
        <w:numPr>
          <w:ilvl w:val="0"/>
          <w:numId w:val="44"/>
        </w:numPr>
        <w:tabs>
          <w:tab w:val="clear" w:pos="720"/>
          <w:tab w:val="num" w:pos="-12"/>
        </w:tabs>
        <w:spacing w:line="276" w:lineRule="auto"/>
        <w:ind w:left="1068"/>
        <w:jc w:val="both"/>
        <w:rPr>
          <w:sz w:val="24"/>
        </w:rPr>
      </w:pPr>
      <w:r w:rsidRPr="00FA6360">
        <w:rPr>
          <w:sz w:val="24"/>
        </w:rPr>
        <w:lastRenderedPageBreak/>
        <w:t>zmiennością wyniku finansowego netto,</w:t>
      </w:r>
    </w:p>
    <w:p w14:paraId="15995355" w14:textId="77777777" w:rsidR="006B19B6" w:rsidRPr="00FA6360" w:rsidRDefault="006B19B6" w:rsidP="00210393">
      <w:pPr>
        <w:pStyle w:val="Tekstpodstawowy"/>
        <w:numPr>
          <w:ilvl w:val="0"/>
          <w:numId w:val="44"/>
        </w:numPr>
        <w:tabs>
          <w:tab w:val="clear" w:pos="720"/>
          <w:tab w:val="num" w:pos="-12"/>
        </w:tabs>
        <w:spacing w:line="276" w:lineRule="auto"/>
        <w:ind w:left="1068"/>
        <w:jc w:val="both"/>
        <w:rPr>
          <w:sz w:val="24"/>
        </w:rPr>
      </w:pPr>
      <w:r w:rsidRPr="00FA6360">
        <w:rPr>
          <w:sz w:val="24"/>
        </w:rPr>
        <w:t>obecną i przewidywaną sytuacją makroekonomiczną,</w:t>
      </w:r>
    </w:p>
    <w:p w14:paraId="361EAD4F" w14:textId="77777777" w:rsidR="006B19B6" w:rsidRPr="00FA6360" w:rsidRDefault="006B19B6" w:rsidP="00210393">
      <w:pPr>
        <w:pStyle w:val="Tekstpodstawowy"/>
        <w:numPr>
          <w:ilvl w:val="0"/>
          <w:numId w:val="44"/>
        </w:numPr>
        <w:tabs>
          <w:tab w:val="clear" w:pos="720"/>
          <w:tab w:val="num" w:pos="-12"/>
        </w:tabs>
        <w:spacing w:line="276" w:lineRule="auto"/>
        <w:ind w:left="1068"/>
        <w:jc w:val="both"/>
        <w:rPr>
          <w:sz w:val="24"/>
        </w:rPr>
      </w:pPr>
      <w:r w:rsidRPr="00FA6360">
        <w:rPr>
          <w:sz w:val="24"/>
        </w:rPr>
        <w:t>funkcjonowaniem w ramach Systemu Ochrony Instytucjonalnej;</w:t>
      </w:r>
    </w:p>
    <w:p w14:paraId="51EB89D6" w14:textId="4BE5F78E" w:rsidR="006B19B6" w:rsidRPr="00FA6360" w:rsidRDefault="006B19B6" w:rsidP="00210393">
      <w:pPr>
        <w:pStyle w:val="Tekstpodstawowy"/>
        <w:numPr>
          <w:ilvl w:val="0"/>
          <w:numId w:val="45"/>
        </w:numPr>
        <w:tabs>
          <w:tab w:val="clear" w:pos="1068"/>
          <w:tab w:val="num" w:pos="-372"/>
        </w:tabs>
        <w:spacing w:line="276" w:lineRule="auto"/>
        <w:ind w:left="706" w:hanging="357"/>
        <w:jc w:val="both"/>
        <w:rPr>
          <w:sz w:val="24"/>
        </w:rPr>
      </w:pPr>
      <w:r w:rsidRPr="00FA6360">
        <w:rPr>
          <w:sz w:val="24"/>
        </w:rPr>
        <w:t xml:space="preserve">dąży do uzyskania takiej struktury funduszu udziałowego, aby suma znaczących pakietów udziałów, czyli pakietów przekraczających 5% funduszu udziałowego, nie przekroczyła </w:t>
      </w:r>
      <w:r w:rsidR="00210393" w:rsidRPr="00FA6360">
        <w:rPr>
          <w:sz w:val="24"/>
        </w:rPr>
        <w:t>5</w:t>
      </w:r>
      <w:r w:rsidRPr="00FA6360">
        <w:rPr>
          <w:sz w:val="24"/>
        </w:rPr>
        <w:t>0% funduszu udziałowego Banku;</w:t>
      </w:r>
    </w:p>
    <w:p w14:paraId="5413C449" w14:textId="213074ED" w:rsidR="006B19B6" w:rsidRPr="00FA6360" w:rsidRDefault="006B19B6" w:rsidP="00210393">
      <w:pPr>
        <w:pStyle w:val="Tekstpodstawowy"/>
        <w:numPr>
          <w:ilvl w:val="0"/>
          <w:numId w:val="45"/>
        </w:numPr>
        <w:tabs>
          <w:tab w:val="clear" w:pos="1068"/>
          <w:tab w:val="num" w:pos="-654"/>
        </w:tabs>
        <w:spacing w:line="276" w:lineRule="auto"/>
        <w:ind w:left="709" w:hanging="357"/>
        <w:jc w:val="both"/>
        <w:rPr>
          <w:sz w:val="24"/>
        </w:rPr>
      </w:pPr>
      <w:r w:rsidRPr="00FA6360">
        <w:rPr>
          <w:sz w:val="24"/>
        </w:rPr>
        <w:t xml:space="preserve">dąży do uzyskania zaangażowania kapitałowego w akcje Banku Zrzeszającego na poziomie od minimum </w:t>
      </w:r>
      <w:r w:rsidR="00210393" w:rsidRPr="00FA6360">
        <w:rPr>
          <w:sz w:val="24"/>
        </w:rPr>
        <w:t>9</w:t>
      </w:r>
      <w:r w:rsidRPr="00FA6360">
        <w:rPr>
          <w:sz w:val="24"/>
        </w:rPr>
        <w:t xml:space="preserve">% do maksymalnie </w:t>
      </w:r>
      <w:r w:rsidR="00210393" w:rsidRPr="00FA6360">
        <w:rPr>
          <w:sz w:val="24"/>
        </w:rPr>
        <w:t>15</w:t>
      </w:r>
      <w:r w:rsidRPr="00FA6360">
        <w:rPr>
          <w:sz w:val="24"/>
        </w:rPr>
        <w:t>% uznanego kapitału  Banku;</w:t>
      </w:r>
    </w:p>
    <w:p w14:paraId="5529FC1B" w14:textId="77777777" w:rsidR="006B19B6" w:rsidRPr="00FA6360" w:rsidRDefault="006B19B6" w:rsidP="006B19B6">
      <w:pPr>
        <w:pStyle w:val="Tekstpodstawowy"/>
        <w:tabs>
          <w:tab w:val="num" w:pos="709"/>
        </w:tabs>
        <w:spacing w:line="276" w:lineRule="auto"/>
        <w:jc w:val="both"/>
      </w:pPr>
    </w:p>
    <w:p w14:paraId="46B97BD6" w14:textId="77777777" w:rsidR="006B19B6" w:rsidRPr="00FA6360" w:rsidRDefault="006B19B6" w:rsidP="006B19B6">
      <w:pPr>
        <w:spacing w:after="0"/>
        <w:jc w:val="center"/>
        <w:rPr>
          <w:rFonts w:ascii="Times New Roman" w:hAnsi="Times New Roman"/>
          <w:b/>
          <w:sz w:val="24"/>
          <w:szCs w:val="24"/>
        </w:rPr>
      </w:pPr>
      <w:r w:rsidRPr="00FA6360">
        <w:rPr>
          <w:rFonts w:ascii="Times New Roman" w:hAnsi="Times New Roman"/>
          <w:b/>
          <w:sz w:val="24"/>
          <w:szCs w:val="24"/>
        </w:rPr>
        <w:t>Organizacja zarządzania ryzykiem</w:t>
      </w:r>
    </w:p>
    <w:p w14:paraId="54D0AD63" w14:textId="77777777" w:rsidR="006B19B6" w:rsidRPr="00FA6360" w:rsidRDefault="006B19B6" w:rsidP="006B19B6">
      <w:pPr>
        <w:spacing w:after="0"/>
        <w:jc w:val="both"/>
        <w:rPr>
          <w:rFonts w:ascii="Times New Roman" w:hAnsi="Times New Roman"/>
          <w:sz w:val="24"/>
          <w:szCs w:val="24"/>
        </w:rPr>
      </w:pPr>
    </w:p>
    <w:p w14:paraId="64989757" w14:textId="77777777" w:rsidR="006B19B6" w:rsidRPr="00FA6360" w:rsidRDefault="006B19B6" w:rsidP="006B19B6">
      <w:pPr>
        <w:spacing w:after="0"/>
        <w:jc w:val="both"/>
        <w:rPr>
          <w:rFonts w:ascii="Times New Roman" w:hAnsi="Times New Roman"/>
          <w:sz w:val="24"/>
          <w:szCs w:val="24"/>
        </w:rPr>
      </w:pPr>
      <w:r w:rsidRPr="00FA6360">
        <w:rPr>
          <w:rFonts w:ascii="Times New Roman" w:hAnsi="Times New Roman"/>
          <w:sz w:val="24"/>
          <w:szCs w:val="24"/>
        </w:rPr>
        <w:t>W procesie zarządzania ryzykiem w Banku uczestniczą  następujące organy, jednostki i komórki organizacyjne:</w:t>
      </w:r>
    </w:p>
    <w:p w14:paraId="4CF2BF6B" w14:textId="77777777" w:rsidR="006B19B6" w:rsidRPr="00FA6360" w:rsidRDefault="006B19B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 xml:space="preserve">Rada Nadzorcza, </w:t>
      </w:r>
    </w:p>
    <w:p w14:paraId="17A64B68" w14:textId="07C18293" w:rsidR="006B19B6" w:rsidRPr="00FA6360" w:rsidRDefault="006B19B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Zarząd,</w:t>
      </w:r>
    </w:p>
    <w:p w14:paraId="25BAEE96" w14:textId="0095D72D" w:rsidR="00210393" w:rsidRPr="00FA6360" w:rsidRDefault="00210393"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Komitet Audytu</w:t>
      </w:r>
      <w:r w:rsidR="00847717" w:rsidRPr="00FA6360">
        <w:rPr>
          <w:rFonts w:ascii="Times New Roman" w:hAnsi="Times New Roman"/>
          <w:sz w:val="24"/>
          <w:szCs w:val="24"/>
        </w:rPr>
        <w:t>,</w:t>
      </w:r>
    </w:p>
    <w:p w14:paraId="0F6C839C" w14:textId="02BA08D2" w:rsidR="00D93936" w:rsidRPr="00FA6360" w:rsidRDefault="00D9393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Członek Zarządu nadzorującego zarządzanie ryzykiem – Prezes Zarządu,</w:t>
      </w:r>
    </w:p>
    <w:p w14:paraId="35F11530" w14:textId="0B1A8CC7" w:rsidR="00D93936" w:rsidRPr="00FA6360" w:rsidRDefault="00D9393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Komitet Zarządzania Ryzykami,</w:t>
      </w:r>
    </w:p>
    <w:p w14:paraId="61A79EF5" w14:textId="4E6755DC" w:rsidR="006B19B6" w:rsidRPr="00FA6360" w:rsidRDefault="006B19B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K</w:t>
      </w:r>
      <w:r w:rsidR="00D93936" w:rsidRPr="00FA6360">
        <w:rPr>
          <w:rFonts w:ascii="Times New Roman" w:hAnsi="Times New Roman"/>
          <w:sz w:val="24"/>
          <w:szCs w:val="24"/>
        </w:rPr>
        <w:t>omitet Kredytowy</w:t>
      </w:r>
      <w:r w:rsidRPr="00FA6360">
        <w:rPr>
          <w:rFonts w:ascii="Times New Roman" w:hAnsi="Times New Roman"/>
          <w:sz w:val="24"/>
          <w:szCs w:val="24"/>
        </w:rPr>
        <w:t>,</w:t>
      </w:r>
    </w:p>
    <w:p w14:paraId="768A1676" w14:textId="710F5D7C" w:rsidR="006B19B6" w:rsidRPr="00FA6360" w:rsidRDefault="00847717"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Stanowisko</w:t>
      </w:r>
      <w:r w:rsidR="006B19B6" w:rsidRPr="00FA6360">
        <w:rPr>
          <w:rFonts w:ascii="Times New Roman" w:hAnsi="Times New Roman"/>
          <w:sz w:val="24"/>
          <w:szCs w:val="24"/>
        </w:rPr>
        <w:t xml:space="preserve"> Zarządzania Ryzykami i Analiz, </w:t>
      </w:r>
    </w:p>
    <w:p w14:paraId="2A8C9791" w14:textId="3AA87057" w:rsidR="006B19B6" w:rsidRPr="00FA6360" w:rsidRDefault="00D9393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Komórka</w:t>
      </w:r>
      <w:r w:rsidR="006B19B6" w:rsidRPr="00FA6360">
        <w:rPr>
          <w:rFonts w:ascii="Times New Roman" w:hAnsi="Times New Roman"/>
          <w:sz w:val="24"/>
          <w:szCs w:val="24"/>
        </w:rPr>
        <w:t xml:space="preserve"> ds. zgodności, </w:t>
      </w:r>
    </w:p>
    <w:p w14:paraId="6E9F6253" w14:textId="69643414" w:rsidR="006B19B6" w:rsidRPr="00FA6360" w:rsidRDefault="006B19B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 xml:space="preserve">Audyt wewnętrzny, realizowany przez </w:t>
      </w:r>
      <w:r w:rsidR="00847717" w:rsidRPr="00FA6360">
        <w:rPr>
          <w:rFonts w:ascii="Times New Roman" w:hAnsi="Times New Roman"/>
          <w:sz w:val="24"/>
          <w:szCs w:val="24"/>
        </w:rPr>
        <w:t>Spółdzi</w:t>
      </w:r>
      <w:r w:rsidRPr="00FA6360">
        <w:rPr>
          <w:rFonts w:ascii="Times New Roman" w:hAnsi="Times New Roman"/>
          <w:sz w:val="24"/>
          <w:szCs w:val="24"/>
        </w:rPr>
        <w:t xml:space="preserve">elnię Systemu Ochrony Zrzeszenia  BPS, </w:t>
      </w:r>
    </w:p>
    <w:p w14:paraId="738C0362" w14:textId="77777777" w:rsidR="006B19B6" w:rsidRPr="00FA6360" w:rsidRDefault="006B19B6" w:rsidP="000C62C3">
      <w:pPr>
        <w:pStyle w:val="Akapitzlist"/>
        <w:numPr>
          <w:ilvl w:val="0"/>
          <w:numId w:val="35"/>
        </w:numPr>
        <w:spacing w:after="0"/>
        <w:rPr>
          <w:rFonts w:ascii="Times New Roman" w:hAnsi="Times New Roman"/>
          <w:sz w:val="24"/>
          <w:szCs w:val="24"/>
        </w:rPr>
      </w:pPr>
      <w:r w:rsidRPr="00FA6360">
        <w:rPr>
          <w:rFonts w:ascii="Times New Roman" w:hAnsi="Times New Roman"/>
          <w:sz w:val="24"/>
          <w:szCs w:val="24"/>
        </w:rPr>
        <w:t>Pozostali pracownicy Banku.</w:t>
      </w:r>
    </w:p>
    <w:p w14:paraId="5D6AC2E8" w14:textId="77777777" w:rsidR="006B19B6" w:rsidRPr="00ED417D" w:rsidRDefault="006B19B6" w:rsidP="006B19B6">
      <w:pPr>
        <w:spacing w:after="0"/>
        <w:rPr>
          <w:rFonts w:ascii="Times New Roman" w:hAnsi="Times New Roman"/>
          <w:color w:val="FF0000"/>
          <w:sz w:val="24"/>
          <w:szCs w:val="24"/>
        </w:rPr>
      </w:pPr>
    </w:p>
    <w:p w14:paraId="63C4254E" w14:textId="5D3ED945" w:rsidR="006B19B6" w:rsidRPr="00FA6360" w:rsidRDefault="006B19B6" w:rsidP="00FA6360">
      <w:pPr>
        <w:spacing w:after="0"/>
        <w:jc w:val="both"/>
        <w:rPr>
          <w:rFonts w:ascii="Times New Roman" w:hAnsi="Times New Roman"/>
          <w:sz w:val="24"/>
          <w:szCs w:val="24"/>
        </w:rPr>
      </w:pPr>
      <w:r w:rsidRPr="00FA6360">
        <w:rPr>
          <w:rFonts w:ascii="Times New Roman" w:hAnsi="Times New Roman"/>
          <w:sz w:val="24"/>
          <w:szCs w:val="24"/>
        </w:rPr>
        <w:t xml:space="preserve">Bank zapewnia niezależność działalności operacyjnej, która generuje ryzyko od niezależnej oceny ryzyka, przeprowadzanej przez </w:t>
      </w:r>
      <w:r w:rsidR="00847717" w:rsidRPr="00FA6360">
        <w:rPr>
          <w:rFonts w:ascii="Times New Roman" w:hAnsi="Times New Roman"/>
          <w:sz w:val="24"/>
          <w:szCs w:val="24"/>
        </w:rPr>
        <w:t>Stanowisko</w:t>
      </w:r>
      <w:r w:rsidRPr="00FA6360">
        <w:rPr>
          <w:rFonts w:ascii="Times New Roman" w:hAnsi="Times New Roman"/>
          <w:sz w:val="24"/>
          <w:szCs w:val="24"/>
        </w:rPr>
        <w:t xml:space="preserve"> Zarządzania Ryzykami i Analiz.</w:t>
      </w:r>
    </w:p>
    <w:p w14:paraId="76D8182B" w14:textId="77777777" w:rsidR="006B19B6" w:rsidRPr="00FA6360" w:rsidRDefault="006B19B6" w:rsidP="00FA6360">
      <w:pPr>
        <w:spacing w:after="0"/>
        <w:jc w:val="both"/>
        <w:rPr>
          <w:rFonts w:ascii="Times New Roman" w:hAnsi="Times New Roman"/>
          <w:sz w:val="24"/>
          <w:szCs w:val="24"/>
        </w:rPr>
      </w:pPr>
      <w:r w:rsidRPr="00FA6360">
        <w:rPr>
          <w:rFonts w:ascii="Times New Roman" w:hAnsi="Times New Roman"/>
          <w:sz w:val="24"/>
          <w:szCs w:val="24"/>
        </w:rPr>
        <w:t>System kontroli ryzyka stanowi znaczący element systemu zarządzania bankiem i obejmuje:</w:t>
      </w:r>
    </w:p>
    <w:p w14:paraId="5B242CF8" w14:textId="77777777" w:rsidR="006B19B6" w:rsidRPr="00E54A7A" w:rsidRDefault="006B19B6" w:rsidP="00FA6360">
      <w:pPr>
        <w:numPr>
          <w:ilvl w:val="0"/>
          <w:numId w:val="36"/>
        </w:numPr>
        <w:spacing w:after="0"/>
        <w:jc w:val="both"/>
        <w:rPr>
          <w:rFonts w:ascii="Times New Roman" w:hAnsi="Times New Roman"/>
          <w:sz w:val="24"/>
          <w:szCs w:val="24"/>
        </w:rPr>
      </w:pPr>
      <w:r w:rsidRPr="00E54A7A">
        <w:rPr>
          <w:rFonts w:ascii="Times New Roman" w:hAnsi="Times New Roman"/>
          <w:sz w:val="24"/>
          <w:szCs w:val="24"/>
        </w:rPr>
        <w:t>Adekwatny proces identyfikacji i oceny poszczególnych rodzajów ryzyka,</w:t>
      </w:r>
    </w:p>
    <w:p w14:paraId="15DE0FF8" w14:textId="77777777" w:rsidR="006B19B6" w:rsidRPr="00E54A7A" w:rsidRDefault="006B19B6" w:rsidP="00FA6360">
      <w:pPr>
        <w:numPr>
          <w:ilvl w:val="0"/>
          <w:numId w:val="36"/>
        </w:numPr>
        <w:spacing w:after="0"/>
        <w:jc w:val="both"/>
        <w:rPr>
          <w:rFonts w:ascii="Times New Roman" w:hAnsi="Times New Roman"/>
          <w:sz w:val="24"/>
          <w:szCs w:val="24"/>
        </w:rPr>
      </w:pPr>
      <w:r w:rsidRPr="00E54A7A">
        <w:rPr>
          <w:rFonts w:ascii="Times New Roman" w:hAnsi="Times New Roman"/>
          <w:sz w:val="24"/>
          <w:szCs w:val="24"/>
        </w:rPr>
        <w:t xml:space="preserve"> Strategie, polityki, procedury i plany,</w:t>
      </w:r>
    </w:p>
    <w:p w14:paraId="031769D3" w14:textId="3A46D514" w:rsidR="006B19B6" w:rsidRPr="00E54A7A" w:rsidRDefault="006B19B6" w:rsidP="00FA6360">
      <w:pPr>
        <w:numPr>
          <w:ilvl w:val="0"/>
          <w:numId w:val="36"/>
        </w:numPr>
        <w:spacing w:after="0"/>
        <w:jc w:val="both"/>
        <w:rPr>
          <w:rFonts w:ascii="Times New Roman" w:hAnsi="Times New Roman"/>
          <w:sz w:val="24"/>
          <w:szCs w:val="24"/>
        </w:rPr>
      </w:pPr>
      <w:r w:rsidRPr="00E54A7A">
        <w:rPr>
          <w:rFonts w:ascii="Times New Roman" w:hAnsi="Times New Roman"/>
          <w:sz w:val="24"/>
          <w:szCs w:val="24"/>
        </w:rPr>
        <w:t>Adekwatne systemy informacji zarządczej,</w:t>
      </w:r>
    </w:p>
    <w:p w14:paraId="34437721" w14:textId="6D55B694" w:rsidR="00606A34" w:rsidRPr="00E54A7A" w:rsidRDefault="006B19B6" w:rsidP="00FA6360">
      <w:pPr>
        <w:numPr>
          <w:ilvl w:val="0"/>
          <w:numId w:val="36"/>
        </w:numPr>
        <w:spacing w:after="0"/>
        <w:jc w:val="both"/>
        <w:rPr>
          <w:rFonts w:ascii="Times New Roman" w:hAnsi="Times New Roman"/>
          <w:sz w:val="24"/>
          <w:szCs w:val="24"/>
        </w:rPr>
      </w:pPr>
      <w:r w:rsidRPr="00E54A7A">
        <w:rPr>
          <w:rFonts w:ascii="Times New Roman" w:hAnsi="Times New Roman"/>
          <w:sz w:val="24"/>
          <w:szCs w:val="24"/>
        </w:rPr>
        <w:t>Proces regularnego przeglądu i oceny działania Banku z zasadami polityki/strategii oraz procedurami.</w:t>
      </w:r>
    </w:p>
    <w:p w14:paraId="782F4BF6" w14:textId="49820C89" w:rsidR="00D93936" w:rsidRPr="00ED417D" w:rsidRDefault="00D93936" w:rsidP="006B19B6">
      <w:pPr>
        <w:pStyle w:val="Akapitzlist"/>
        <w:spacing w:after="0" w:line="240" w:lineRule="auto"/>
        <w:ind w:left="426"/>
        <w:jc w:val="both"/>
        <w:rPr>
          <w:rFonts w:ascii="Times New Roman" w:hAnsi="Times New Roman" w:cs="Times New Roman"/>
          <w:color w:val="FF0000"/>
          <w:sz w:val="24"/>
          <w:szCs w:val="24"/>
        </w:rPr>
      </w:pPr>
    </w:p>
    <w:p w14:paraId="1D27BA77" w14:textId="5DF9029D" w:rsidR="00D93936" w:rsidRPr="00ED417D" w:rsidRDefault="00D93936" w:rsidP="006B19B6">
      <w:pPr>
        <w:pStyle w:val="Akapitzlist"/>
        <w:spacing w:after="0" w:line="240" w:lineRule="auto"/>
        <w:ind w:left="426"/>
        <w:jc w:val="both"/>
        <w:rPr>
          <w:rFonts w:ascii="Times New Roman" w:hAnsi="Times New Roman" w:cs="Times New Roman"/>
          <w:color w:val="FF0000"/>
          <w:sz w:val="24"/>
          <w:szCs w:val="24"/>
        </w:rPr>
      </w:pPr>
    </w:p>
    <w:p w14:paraId="7DC0B665" w14:textId="77777777" w:rsidR="00BE1CD9" w:rsidRPr="008B6E40" w:rsidRDefault="00BE1CD9" w:rsidP="00FA6360">
      <w:pPr>
        <w:spacing w:after="0" w:line="240" w:lineRule="auto"/>
        <w:jc w:val="both"/>
        <w:rPr>
          <w:rFonts w:ascii="Times New Roman" w:hAnsi="Times New Roman" w:cs="Times New Roman"/>
          <w:sz w:val="24"/>
          <w:szCs w:val="24"/>
        </w:rPr>
      </w:pPr>
    </w:p>
    <w:p w14:paraId="345F89CA" w14:textId="77777777" w:rsidR="002357A6" w:rsidRPr="008B6E40" w:rsidRDefault="00ED776B" w:rsidP="00ED776B">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8B6E40">
        <w:rPr>
          <w:rFonts w:ascii="Times New Roman" w:hAnsi="Times New Roman" w:cs="Times New Roman"/>
          <w:b/>
          <w:sz w:val="24"/>
          <w:szCs w:val="24"/>
        </w:rPr>
        <w:t>A</w:t>
      </w:r>
      <w:r w:rsidR="00A92226" w:rsidRPr="008B6E40">
        <w:rPr>
          <w:rFonts w:ascii="Times New Roman" w:hAnsi="Times New Roman" w:cs="Times New Roman"/>
          <w:b/>
          <w:sz w:val="24"/>
          <w:szCs w:val="24"/>
        </w:rPr>
        <w:t>dekwatności systemu zarządzani</w:t>
      </w:r>
      <w:r w:rsidR="00C3671F" w:rsidRPr="008B6E40">
        <w:rPr>
          <w:rFonts w:ascii="Times New Roman" w:hAnsi="Times New Roman" w:cs="Times New Roman"/>
          <w:b/>
          <w:sz w:val="24"/>
          <w:szCs w:val="24"/>
        </w:rPr>
        <w:t>a ryzykiem</w:t>
      </w:r>
      <w:r w:rsidRPr="008B6E40">
        <w:rPr>
          <w:rFonts w:ascii="Times New Roman" w:hAnsi="Times New Roman" w:cs="Times New Roman"/>
          <w:b/>
          <w:sz w:val="24"/>
          <w:szCs w:val="24"/>
        </w:rPr>
        <w:t xml:space="preserve"> oraz ogólny profil ryzyka</w:t>
      </w:r>
    </w:p>
    <w:p w14:paraId="5035CF8A" w14:textId="77777777" w:rsidR="007F66C9" w:rsidRPr="008B6E40" w:rsidRDefault="007F66C9" w:rsidP="00ED776B">
      <w:pPr>
        <w:pStyle w:val="Akapitzlist"/>
        <w:spacing w:line="240" w:lineRule="auto"/>
        <w:ind w:left="708"/>
        <w:rPr>
          <w:rFonts w:ascii="Times New Roman" w:hAnsi="Times New Roman" w:cs="Times New Roman"/>
          <w:sz w:val="24"/>
          <w:szCs w:val="24"/>
        </w:rPr>
      </w:pPr>
    </w:p>
    <w:p w14:paraId="3B67D413" w14:textId="77777777" w:rsidR="00ED776B" w:rsidRPr="008B6E40" w:rsidRDefault="00E03291" w:rsidP="008B6E40">
      <w:pPr>
        <w:pStyle w:val="Akapitzlist"/>
        <w:spacing w:line="240" w:lineRule="auto"/>
        <w:ind w:left="0"/>
        <w:jc w:val="both"/>
        <w:rPr>
          <w:rFonts w:ascii="Times New Roman" w:hAnsi="Times New Roman" w:cs="Times New Roman"/>
          <w:sz w:val="24"/>
          <w:szCs w:val="24"/>
        </w:rPr>
      </w:pPr>
      <w:r w:rsidRPr="008B6E40">
        <w:rPr>
          <w:rFonts w:ascii="Times New Roman" w:hAnsi="Times New Roman" w:cs="Times New Roman"/>
          <w:sz w:val="24"/>
          <w:szCs w:val="24"/>
        </w:rPr>
        <w:t xml:space="preserve">Zarząd Banku oświadcza, że funkcjonujący w Banku system zarządzania ryzykiem jest adekwatny do </w:t>
      </w:r>
      <w:r w:rsidR="001E4B92" w:rsidRPr="008B6E40">
        <w:rPr>
          <w:rFonts w:ascii="Times New Roman" w:hAnsi="Times New Roman" w:cs="Times New Roman"/>
          <w:sz w:val="24"/>
          <w:szCs w:val="24"/>
        </w:rPr>
        <w:t>skali oraz złożoności prowadzonej przez Bank działalności.</w:t>
      </w:r>
    </w:p>
    <w:p w14:paraId="193FA8CF" w14:textId="77777777" w:rsidR="00ED776B" w:rsidRPr="008B6E40" w:rsidRDefault="00ED776B" w:rsidP="008B6E40">
      <w:pPr>
        <w:pStyle w:val="Akapitzlist"/>
        <w:spacing w:line="240" w:lineRule="auto"/>
        <w:ind w:left="0"/>
        <w:jc w:val="both"/>
        <w:rPr>
          <w:rFonts w:ascii="Times New Roman" w:hAnsi="Times New Roman" w:cs="Times New Roman"/>
          <w:sz w:val="24"/>
          <w:szCs w:val="24"/>
        </w:rPr>
      </w:pPr>
    </w:p>
    <w:p w14:paraId="3A3BC0C0" w14:textId="77777777" w:rsidR="001E4B92" w:rsidRPr="008B6E40" w:rsidRDefault="001E4B92" w:rsidP="008B6E40">
      <w:pPr>
        <w:pStyle w:val="Akapitzlist"/>
        <w:spacing w:line="240" w:lineRule="auto"/>
        <w:ind w:left="0"/>
        <w:jc w:val="both"/>
        <w:rPr>
          <w:rFonts w:ascii="Times New Roman" w:hAnsi="Times New Roman" w:cs="Times New Roman"/>
          <w:sz w:val="24"/>
          <w:szCs w:val="24"/>
        </w:rPr>
      </w:pPr>
      <w:r w:rsidRPr="008B6E40">
        <w:rPr>
          <w:rFonts w:ascii="Times New Roman" w:hAnsi="Times New Roman" w:cs="Times New Roman"/>
          <w:sz w:val="24"/>
          <w:szCs w:val="24"/>
        </w:rPr>
        <w:t>Profil ryzyka Banku, w ujęciu ilościowym Bank określa poprzez wskazanie udziału kapitału wewnętrznego na poszczególne rodzaje ryzyka w funduszach własnych.</w:t>
      </w:r>
    </w:p>
    <w:p w14:paraId="215E5E64" w14:textId="77777777" w:rsidR="001E4B92" w:rsidRPr="008B6E40" w:rsidRDefault="001E4B92" w:rsidP="008B6E40">
      <w:pPr>
        <w:pStyle w:val="Akapitzlist"/>
        <w:spacing w:line="240" w:lineRule="auto"/>
        <w:ind w:left="0"/>
        <w:jc w:val="both"/>
        <w:rPr>
          <w:rFonts w:ascii="Times New Roman" w:hAnsi="Times New Roman" w:cs="Times New Roman"/>
          <w:sz w:val="24"/>
          <w:szCs w:val="24"/>
        </w:rPr>
      </w:pPr>
    </w:p>
    <w:p w14:paraId="399058BD" w14:textId="77777777" w:rsidR="00401835" w:rsidRDefault="00401835" w:rsidP="00401835">
      <w:pPr>
        <w:spacing w:after="0"/>
        <w:jc w:val="both"/>
        <w:rPr>
          <w:rFonts w:ascii="Times New Roman" w:eastAsia="SimSun" w:hAnsi="Times New Roman" w:cs="Times New Roman"/>
          <w:bCs/>
          <w:sz w:val="24"/>
          <w:szCs w:val="24"/>
          <w:lang w:eastAsia="zh-CN"/>
        </w:rPr>
      </w:pPr>
    </w:p>
    <w:p w14:paraId="42B933D5" w14:textId="42C5732C" w:rsidR="00401835" w:rsidRPr="00401835" w:rsidRDefault="00401835" w:rsidP="00401835">
      <w:pPr>
        <w:spacing w:after="0"/>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Na rok 2020 z</w:t>
      </w:r>
      <w:r w:rsidRPr="00401835">
        <w:rPr>
          <w:rFonts w:ascii="Times New Roman" w:eastAsia="SimSun" w:hAnsi="Times New Roman" w:cs="Times New Roman"/>
          <w:bCs/>
          <w:sz w:val="24"/>
          <w:szCs w:val="24"/>
          <w:lang w:eastAsia="zh-CN"/>
        </w:rPr>
        <w:t>a</w:t>
      </w:r>
      <w:r>
        <w:rPr>
          <w:rFonts w:ascii="Times New Roman" w:eastAsia="SimSun" w:hAnsi="Times New Roman" w:cs="Times New Roman"/>
          <w:bCs/>
          <w:sz w:val="24"/>
          <w:szCs w:val="24"/>
          <w:lang w:eastAsia="zh-CN"/>
        </w:rPr>
        <w:t>łożono</w:t>
      </w:r>
      <w:r w:rsidRPr="00401835">
        <w:rPr>
          <w:rFonts w:ascii="Times New Roman" w:eastAsia="SimSun" w:hAnsi="Times New Roman" w:cs="Times New Roman"/>
          <w:bCs/>
          <w:sz w:val="24"/>
          <w:szCs w:val="24"/>
          <w:lang w:eastAsia="zh-CN"/>
        </w:rPr>
        <w:t xml:space="preserve">  następującą strukturę wymogów kapitałowych z tytułu poszczególnych rodzajów ryzyka:</w:t>
      </w:r>
    </w:p>
    <w:tbl>
      <w:tblPr>
        <w:tblW w:w="7880" w:type="dxa"/>
        <w:tblInd w:w="55" w:type="dxa"/>
        <w:tblCellMar>
          <w:left w:w="70" w:type="dxa"/>
          <w:right w:w="70" w:type="dxa"/>
        </w:tblCellMar>
        <w:tblLook w:val="04A0" w:firstRow="1" w:lastRow="0" w:firstColumn="1" w:lastColumn="0" w:noHBand="0" w:noVBand="1"/>
      </w:tblPr>
      <w:tblGrid>
        <w:gridCol w:w="820"/>
        <w:gridCol w:w="5580"/>
        <w:gridCol w:w="1480"/>
      </w:tblGrid>
      <w:tr w:rsidR="00401835" w:rsidRPr="00401835" w14:paraId="3012C669" w14:textId="77777777" w:rsidTr="00E32497">
        <w:trPr>
          <w:trHeight w:val="285"/>
        </w:trPr>
        <w:tc>
          <w:tcPr>
            <w:tcW w:w="82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60639A2" w14:textId="77777777" w:rsidR="00401835" w:rsidRPr="00401835" w:rsidRDefault="00401835" w:rsidP="00401835">
            <w:pPr>
              <w:spacing w:after="0"/>
              <w:rPr>
                <w:rFonts w:ascii="Times New Roman" w:eastAsia="Times New Roman" w:hAnsi="Times New Roman" w:cs="Times New Roman"/>
                <w:lang w:eastAsia="pl-PL"/>
              </w:rPr>
            </w:pPr>
          </w:p>
        </w:tc>
        <w:tc>
          <w:tcPr>
            <w:tcW w:w="5580" w:type="dxa"/>
            <w:tcBorders>
              <w:top w:val="single" w:sz="4" w:space="0" w:color="auto"/>
              <w:left w:val="nil"/>
              <w:bottom w:val="single" w:sz="4" w:space="0" w:color="auto"/>
              <w:right w:val="single" w:sz="4" w:space="0" w:color="auto"/>
            </w:tcBorders>
            <w:shd w:val="clear" w:color="000000" w:fill="B8CCE4"/>
            <w:vAlign w:val="bottom"/>
            <w:hideMark/>
          </w:tcPr>
          <w:p w14:paraId="47DDF217"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Minimalne wymogi kapitałowe, w tym:</w:t>
            </w:r>
          </w:p>
        </w:tc>
        <w:tc>
          <w:tcPr>
            <w:tcW w:w="1480" w:type="dxa"/>
            <w:tcBorders>
              <w:top w:val="single" w:sz="4" w:space="0" w:color="auto"/>
              <w:left w:val="nil"/>
              <w:bottom w:val="single" w:sz="4" w:space="0" w:color="auto"/>
              <w:right w:val="single" w:sz="4" w:space="0" w:color="auto"/>
            </w:tcBorders>
            <w:shd w:val="clear" w:color="000000" w:fill="B8CCE4"/>
            <w:noWrap/>
            <w:vAlign w:val="bottom"/>
            <w:hideMark/>
          </w:tcPr>
          <w:p w14:paraId="289D27F6"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 uznanego kapitału</w:t>
            </w:r>
          </w:p>
        </w:tc>
      </w:tr>
      <w:tr w:rsidR="00401835" w:rsidRPr="00401835" w14:paraId="36CA3112"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B526CE8"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w:t>
            </w:r>
          </w:p>
        </w:tc>
        <w:tc>
          <w:tcPr>
            <w:tcW w:w="5580" w:type="dxa"/>
            <w:tcBorders>
              <w:top w:val="nil"/>
              <w:left w:val="nil"/>
              <w:bottom w:val="single" w:sz="4" w:space="0" w:color="auto"/>
              <w:right w:val="single" w:sz="4" w:space="0" w:color="auto"/>
            </w:tcBorders>
            <w:shd w:val="clear" w:color="auto" w:fill="auto"/>
            <w:vAlign w:val="bottom"/>
            <w:hideMark/>
          </w:tcPr>
          <w:p w14:paraId="0428D40E"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Z tytułu ryzyka kredytowego</w:t>
            </w:r>
          </w:p>
        </w:tc>
        <w:tc>
          <w:tcPr>
            <w:tcW w:w="1480" w:type="dxa"/>
            <w:tcBorders>
              <w:top w:val="nil"/>
              <w:left w:val="nil"/>
              <w:bottom w:val="single" w:sz="4" w:space="0" w:color="auto"/>
              <w:right w:val="single" w:sz="4" w:space="0" w:color="auto"/>
            </w:tcBorders>
            <w:shd w:val="clear" w:color="auto" w:fill="auto"/>
            <w:noWrap/>
            <w:vAlign w:val="bottom"/>
            <w:hideMark/>
          </w:tcPr>
          <w:p w14:paraId="2D5BD369"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70%</w:t>
            </w:r>
          </w:p>
        </w:tc>
      </w:tr>
      <w:tr w:rsidR="00401835" w:rsidRPr="00401835" w14:paraId="5993B8C3"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C955C9"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c>
          <w:tcPr>
            <w:tcW w:w="5580" w:type="dxa"/>
            <w:tcBorders>
              <w:top w:val="nil"/>
              <w:left w:val="nil"/>
              <w:bottom w:val="single" w:sz="4" w:space="0" w:color="auto"/>
              <w:right w:val="single" w:sz="4" w:space="0" w:color="auto"/>
            </w:tcBorders>
            <w:shd w:val="clear" w:color="auto" w:fill="auto"/>
            <w:vAlign w:val="bottom"/>
            <w:hideMark/>
          </w:tcPr>
          <w:p w14:paraId="17ECB61F"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Z tytułu ryzyka (rynkowego) walutowego</w:t>
            </w:r>
          </w:p>
        </w:tc>
        <w:tc>
          <w:tcPr>
            <w:tcW w:w="1480" w:type="dxa"/>
            <w:tcBorders>
              <w:top w:val="nil"/>
              <w:left w:val="nil"/>
              <w:bottom w:val="single" w:sz="4" w:space="0" w:color="auto"/>
              <w:right w:val="single" w:sz="4" w:space="0" w:color="auto"/>
            </w:tcBorders>
            <w:shd w:val="clear" w:color="auto" w:fill="auto"/>
            <w:noWrap/>
            <w:vAlign w:val="bottom"/>
            <w:hideMark/>
          </w:tcPr>
          <w:p w14:paraId="6F137C48"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1C99050E"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23EC2E"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3.</w:t>
            </w:r>
          </w:p>
        </w:tc>
        <w:tc>
          <w:tcPr>
            <w:tcW w:w="5580" w:type="dxa"/>
            <w:tcBorders>
              <w:top w:val="nil"/>
              <w:left w:val="nil"/>
              <w:bottom w:val="single" w:sz="4" w:space="0" w:color="auto"/>
              <w:right w:val="single" w:sz="4" w:space="0" w:color="auto"/>
            </w:tcBorders>
            <w:shd w:val="clear" w:color="auto" w:fill="auto"/>
            <w:vAlign w:val="bottom"/>
            <w:hideMark/>
          </w:tcPr>
          <w:p w14:paraId="6428644B"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Z tytułu ryzyka operacyjnego</w:t>
            </w:r>
          </w:p>
        </w:tc>
        <w:tc>
          <w:tcPr>
            <w:tcW w:w="1480" w:type="dxa"/>
            <w:tcBorders>
              <w:top w:val="nil"/>
              <w:left w:val="nil"/>
              <w:bottom w:val="single" w:sz="4" w:space="0" w:color="auto"/>
              <w:right w:val="single" w:sz="4" w:space="0" w:color="auto"/>
            </w:tcBorders>
            <w:shd w:val="clear" w:color="auto" w:fill="auto"/>
            <w:noWrap/>
            <w:vAlign w:val="bottom"/>
            <w:hideMark/>
          </w:tcPr>
          <w:p w14:paraId="7C9C8B4D"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10%</w:t>
            </w:r>
          </w:p>
        </w:tc>
      </w:tr>
      <w:tr w:rsidR="00401835" w:rsidRPr="00401835" w14:paraId="1387A225" w14:textId="77777777" w:rsidTr="00E32497">
        <w:trPr>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563BC22"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4.</w:t>
            </w:r>
          </w:p>
        </w:tc>
        <w:tc>
          <w:tcPr>
            <w:tcW w:w="5580" w:type="dxa"/>
            <w:tcBorders>
              <w:top w:val="nil"/>
              <w:left w:val="nil"/>
              <w:bottom w:val="single" w:sz="4" w:space="0" w:color="auto"/>
              <w:right w:val="single" w:sz="4" w:space="0" w:color="auto"/>
            </w:tcBorders>
            <w:shd w:val="clear" w:color="auto" w:fill="auto"/>
            <w:vAlign w:val="bottom"/>
            <w:hideMark/>
          </w:tcPr>
          <w:p w14:paraId="4E353A38"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Wymóg kapitałowy z tytułu przekroczenia limitu znacznych pakietów akcji poza sektorem finansowym</w:t>
            </w:r>
          </w:p>
        </w:tc>
        <w:tc>
          <w:tcPr>
            <w:tcW w:w="1480" w:type="dxa"/>
            <w:tcBorders>
              <w:top w:val="nil"/>
              <w:left w:val="nil"/>
              <w:bottom w:val="single" w:sz="4" w:space="0" w:color="auto"/>
              <w:right w:val="single" w:sz="4" w:space="0" w:color="auto"/>
            </w:tcBorders>
            <w:shd w:val="clear" w:color="auto" w:fill="auto"/>
            <w:noWrap/>
            <w:vAlign w:val="bottom"/>
            <w:hideMark/>
          </w:tcPr>
          <w:p w14:paraId="6B075653"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4%</w:t>
            </w:r>
          </w:p>
        </w:tc>
      </w:tr>
      <w:tr w:rsidR="00401835" w:rsidRPr="00401835" w14:paraId="71B722EB"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5641FCF"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5.</w:t>
            </w:r>
          </w:p>
        </w:tc>
        <w:tc>
          <w:tcPr>
            <w:tcW w:w="5580" w:type="dxa"/>
            <w:tcBorders>
              <w:top w:val="nil"/>
              <w:left w:val="nil"/>
              <w:bottom w:val="single" w:sz="4" w:space="0" w:color="auto"/>
              <w:right w:val="single" w:sz="4" w:space="0" w:color="auto"/>
            </w:tcBorders>
            <w:shd w:val="clear" w:color="auto" w:fill="auto"/>
            <w:vAlign w:val="bottom"/>
            <w:hideMark/>
          </w:tcPr>
          <w:p w14:paraId="7D253524"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Współczynnik kapitału Tier podstawowy I</w:t>
            </w:r>
          </w:p>
        </w:tc>
        <w:tc>
          <w:tcPr>
            <w:tcW w:w="1480" w:type="dxa"/>
            <w:tcBorders>
              <w:top w:val="nil"/>
              <w:left w:val="nil"/>
              <w:bottom w:val="single" w:sz="4" w:space="0" w:color="auto"/>
              <w:right w:val="single" w:sz="4" w:space="0" w:color="auto"/>
            </w:tcBorders>
            <w:shd w:val="clear" w:color="auto" w:fill="auto"/>
            <w:noWrap/>
            <w:vAlign w:val="bottom"/>
            <w:hideMark/>
          </w:tcPr>
          <w:p w14:paraId="1774AA54"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14,70%</w:t>
            </w:r>
          </w:p>
        </w:tc>
      </w:tr>
      <w:tr w:rsidR="00401835" w:rsidRPr="00401835" w14:paraId="5799BA20"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C37960"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6.</w:t>
            </w:r>
          </w:p>
        </w:tc>
        <w:tc>
          <w:tcPr>
            <w:tcW w:w="5580" w:type="dxa"/>
            <w:tcBorders>
              <w:top w:val="nil"/>
              <w:left w:val="nil"/>
              <w:bottom w:val="single" w:sz="4" w:space="0" w:color="auto"/>
              <w:right w:val="single" w:sz="4" w:space="0" w:color="auto"/>
            </w:tcBorders>
            <w:shd w:val="clear" w:color="auto" w:fill="auto"/>
            <w:vAlign w:val="bottom"/>
            <w:hideMark/>
          </w:tcPr>
          <w:p w14:paraId="7B140FD8"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Współczynnik kapitału Tier I</w:t>
            </w:r>
          </w:p>
        </w:tc>
        <w:tc>
          <w:tcPr>
            <w:tcW w:w="1480" w:type="dxa"/>
            <w:tcBorders>
              <w:top w:val="nil"/>
              <w:left w:val="nil"/>
              <w:bottom w:val="single" w:sz="4" w:space="0" w:color="auto"/>
              <w:right w:val="single" w:sz="4" w:space="0" w:color="auto"/>
            </w:tcBorders>
            <w:shd w:val="clear" w:color="auto" w:fill="auto"/>
            <w:noWrap/>
            <w:vAlign w:val="bottom"/>
            <w:hideMark/>
          </w:tcPr>
          <w:p w14:paraId="4BB0C59B"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14,70%</w:t>
            </w:r>
          </w:p>
        </w:tc>
      </w:tr>
      <w:tr w:rsidR="00401835" w:rsidRPr="00401835" w14:paraId="7DE1FC09"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F865044"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7</w:t>
            </w:r>
          </w:p>
        </w:tc>
        <w:tc>
          <w:tcPr>
            <w:tcW w:w="5580" w:type="dxa"/>
            <w:tcBorders>
              <w:top w:val="nil"/>
              <w:left w:val="nil"/>
              <w:bottom w:val="single" w:sz="4" w:space="0" w:color="auto"/>
              <w:right w:val="single" w:sz="4" w:space="0" w:color="auto"/>
            </w:tcBorders>
            <w:shd w:val="clear" w:color="auto" w:fill="auto"/>
            <w:vAlign w:val="bottom"/>
            <w:hideMark/>
          </w:tcPr>
          <w:p w14:paraId="1EC21719"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 xml:space="preserve">Łączny współczynnik kapitałowy  </w:t>
            </w:r>
          </w:p>
        </w:tc>
        <w:tc>
          <w:tcPr>
            <w:tcW w:w="1480" w:type="dxa"/>
            <w:tcBorders>
              <w:top w:val="nil"/>
              <w:left w:val="nil"/>
              <w:bottom w:val="single" w:sz="4" w:space="0" w:color="auto"/>
              <w:right w:val="single" w:sz="4" w:space="0" w:color="auto"/>
            </w:tcBorders>
            <w:shd w:val="clear" w:color="auto" w:fill="auto"/>
            <w:noWrap/>
            <w:vAlign w:val="bottom"/>
            <w:hideMark/>
          </w:tcPr>
          <w:p w14:paraId="16FCDE1F"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15,00%</w:t>
            </w:r>
          </w:p>
        </w:tc>
      </w:tr>
      <w:tr w:rsidR="00401835" w:rsidRPr="00401835" w14:paraId="2F61DC7F"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8DB3E2"/>
            <w:noWrap/>
            <w:vAlign w:val="bottom"/>
            <w:hideMark/>
          </w:tcPr>
          <w:p w14:paraId="618EEEFC" w14:textId="77777777" w:rsidR="00401835" w:rsidRPr="00401835" w:rsidRDefault="00401835" w:rsidP="00401835">
            <w:pPr>
              <w:spacing w:after="0"/>
              <w:rPr>
                <w:rFonts w:ascii="Times New Roman" w:eastAsia="Times New Roman" w:hAnsi="Times New Roman" w:cs="Times New Roman"/>
                <w:lang w:eastAsia="pl-PL"/>
              </w:rPr>
            </w:pPr>
          </w:p>
        </w:tc>
        <w:tc>
          <w:tcPr>
            <w:tcW w:w="5580" w:type="dxa"/>
            <w:tcBorders>
              <w:top w:val="nil"/>
              <w:left w:val="nil"/>
              <w:bottom w:val="single" w:sz="4" w:space="0" w:color="auto"/>
              <w:right w:val="single" w:sz="4" w:space="0" w:color="auto"/>
            </w:tcBorders>
            <w:shd w:val="clear" w:color="auto" w:fill="8DB3E2"/>
            <w:vAlign w:val="bottom"/>
            <w:hideMark/>
          </w:tcPr>
          <w:p w14:paraId="4373345B" w14:textId="77777777" w:rsidR="00401835" w:rsidRPr="00401835" w:rsidRDefault="00401835" w:rsidP="00401835">
            <w:pPr>
              <w:spacing w:after="0"/>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Wymogi dodatkowe :</w:t>
            </w:r>
          </w:p>
        </w:tc>
        <w:tc>
          <w:tcPr>
            <w:tcW w:w="1480" w:type="dxa"/>
            <w:tcBorders>
              <w:top w:val="nil"/>
              <w:left w:val="nil"/>
              <w:bottom w:val="single" w:sz="4" w:space="0" w:color="auto"/>
              <w:right w:val="single" w:sz="4" w:space="0" w:color="auto"/>
            </w:tcBorders>
            <w:shd w:val="clear" w:color="auto" w:fill="8DB3E2"/>
            <w:noWrap/>
            <w:vAlign w:val="bottom"/>
            <w:hideMark/>
          </w:tcPr>
          <w:p w14:paraId="35AC55BC" w14:textId="77777777" w:rsidR="00401835" w:rsidRPr="00401835" w:rsidRDefault="00401835" w:rsidP="00401835">
            <w:pPr>
              <w:spacing w:after="0"/>
              <w:jc w:val="right"/>
              <w:rPr>
                <w:rFonts w:ascii="Times New Roman" w:eastAsia="Times New Roman" w:hAnsi="Times New Roman" w:cs="Times New Roman"/>
                <w:lang w:eastAsia="pl-PL"/>
              </w:rPr>
            </w:pPr>
          </w:p>
        </w:tc>
      </w:tr>
      <w:tr w:rsidR="00401835" w:rsidRPr="00401835" w14:paraId="43E9A0E0"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5854CDC0"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8.</w:t>
            </w:r>
          </w:p>
        </w:tc>
        <w:tc>
          <w:tcPr>
            <w:tcW w:w="5580" w:type="dxa"/>
            <w:tcBorders>
              <w:top w:val="nil"/>
              <w:left w:val="nil"/>
              <w:bottom w:val="single" w:sz="4" w:space="0" w:color="auto"/>
              <w:right w:val="single" w:sz="4" w:space="0" w:color="auto"/>
            </w:tcBorders>
            <w:shd w:val="clear" w:color="auto" w:fill="auto"/>
            <w:hideMark/>
          </w:tcPr>
          <w:p w14:paraId="486621E1"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ryzyka koncentracji (z tytułu przekroczenia limitów koncentracji zabezpieczeń i branży)</w:t>
            </w:r>
          </w:p>
        </w:tc>
        <w:tc>
          <w:tcPr>
            <w:tcW w:w="1480" w:type="dxa"/>
            <w:tcBorders>
              <w:top w:val="nil"/>
              <w:left w:val="nil"/>
              <w:bottom w:val="single" w:sz="4" w:space="0" w:color="auto"/>
              <w:right w:val="single" w:sz="4" w:space="0" w:color="auto"/>
            </w:tcBorders>
            <w:shd w:val="clear" w:color="auto" w:fill="auto"/>
            <w:hideMark/>
          </w:tcPr>
          <w:p w14:paraId="112E9A7E"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6A491203"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74CD87B1"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9.</w:t>
            </w:r>
          </w:p>
        </w:tc>
        <w:tc>
          <w:tcPr>
            <w:tcW w:w="5580" w:type="dxa"/>
            <w:tcBorders>
              <w:top w:val="nil"/>
              <w:left w:val="nil"/>
              <w:bottom w:val="single" w:sz="4" w:space="0" w:color="auto"/>
              <w:right w:val="single" w:sz="4" w:space="0" w:color="auto"/>
            </w:tcBorders>
            <w:shd w:val="clear" w:color="auto" w:fill="auto"/>
            <w:hideMark/>
          </w:tcPr>
          <w:p w14:paraId="0BDB74BC"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ryzyka stopy procentowej w księdze bankowej</w:t>
            </w:r>
          </w:p>
        </w:tc>
        <w:tc>
          <w:tcPr>
            <w:tcW w:w="1480" w:type="dxa"/>
            <w:tcBorders>
              <w:top w:val="nil"/>
              <w:left w:val="nil"/>
              <w:bottom w:val="single" w:sz="4" w:space="0" w:color="auto"/>
              <w:right w:val="single" w:sz="4" w:space="0" w:color="auto"/>
            </w:tcBorders>
            <w:shd w:val="clear" w:color="auto" w:fill="auto"/>
            <w:hideMark/>
          </w:tcPr>
          <w:p w14:paraId="7D1A0545"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4E60B5D8"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1044F74D"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10.</w:t>
            </w:r>
          </w:p>
        </w:tc>
        <w:tc>
          <w:tcPr>
            <w:tcW w:w="5580" w:type="dxa"/>
            <w:tcBorders>
              <w:top w:val="nil"/>
              <w:left w:val="nil"/>
              <w:bottom w:val="single" w:sz="4" w:space="0" w:color="auto"/>
              <w:right w:val="single" w:sz="4" w:space="0" w:color="auto"/>
            </w:tcBorders>
            <w:shd w:val="clear" w:color="auto" w:fill="auto"/>
            <w:hideMark/>
          </w:tcPr>
          <w:p w14:paraId="40D00244"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ryzyka płynności</w:t>
            </w:r>
          </w:p>
        </w:tc>
        <w:tc>
          <w:tcPr>
            <w:tcW w:w="1480" w:type="dxa"/>
            <w:tcBorders>
              <w:top w:val="nil"/>
              <w:left w:val="nil"/>
              <w:bottom w:val="single" w:sz="4" w:space="0" w:color="auto"/>
              <w:right w:val="single" w:sz="4" w:space="0" w:color="auto"/>
            </w:tcBorders>
            <w:shd w:val="clear" w:color="auto" w:fill="auto"/>
            <w:hideMark/>
          </w:tcPr>
          <w:p w14:paraId="06F3B483"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2D62CF74"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6F2CF868"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11.</w:t>
            </w:r>
          </w:p>
        </w:tc>
        <w:tc>
          <w:tcPr>
            <w:tcW w:w="5580" w:type="dxa"/>
            <w:tcBorders>
              <w:top w:val="nil"/>
              <w:left w:val="nil"/>
              <w:bottom w:val="single" w:sz="4" w:space="0" w:color="auto"/>
              <w:right w:val="single" w:sz="4" w:space="0" w:color="auto"/>
            </w:tcBorders>
            <w:shd w:val="clear" w:color="auto" w:fill="auto"/>
            <w:hideMark/>
          </w:tcPr>
          <w:p w14:paraId="2B429EED"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ryzyka kapitałowego (reputacji)</w:t>
            </w:r>
          </w:p>
        </w:tc>
        <w:tc>
          <w:tcPr>
            <w:tcW w:w="1480" w:type="dxa"/>
            <w:tcBorders>
              <w:top w:val="nil"/>
              <w:left w:val="nil"/>
              <w:bottom w:val="single" w:sz="4" w:space="0" w:color="auto"/>
              <w:right w:val="single" w:sz="4" w:space="0" w:color="auto"/>
            </w:tcBorders>
            <w:shd w:val="clear" w:color="auto" w:fill="auto"/>
            <w:hideMark/>
          </w:tcPr>
          <w:p w14:paraId="35D7A85D"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34206CB3"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42BD5C8C"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12.</w:t>
            </w:r>
          </w:p>
        </w:tc>
        <w:tc>
          <w:tcPr>
            <w:tcW w:w="5580" w:type="dxa"/>
            <w:tcBorders>
              <w:top w:val="nil"/>
              <w:left w:val="nil"/>
              <w:bottom w:val="single" w:sz="4" w:space="0" w:color="auto"/>
              <w:right w:val="single" w:sz="4" w:space="0" w:color="auto"/>
            </w:tcBorders>
            <w:shd w:val="clear" w:color="auto" w:fill="auto"/>
            <w:hideMark/>
          </w:tcPr>
          <w:p w14:paraId="759444AB"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ryzyka biznesowego</w:t>
            </w:r>
          </w:p>
        </w:tc>
        <w:tc>
          <w:tcPr>
            <w:tcW w:w="1480" w:type="dxa"/>
            <w:tcBorders>
              <w:top w:val="nil"/>
              <w:left w:val="nil"/>
              <w:bottom w:val="single" w:sz="4" w:space="0" w:color="auto"/>
              <w:right w:val="single" w:sz="4" w:space="0" w:color="auto"/>
            </w:tcBorders>
            <w:shd w:val="clear" w:color="auto" w:fill="auto"/>
            <w:hideMark/>
          </w:tcPr>
          <w:p w14:paraId="541B3DD8"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2%</w:t>
            </w:r>
          </w:p>
        </w:tc>
      </w:tr>
      <w:tr w:rsidR="00401835" w:rsidRPr="00401835" w14:paraId="5ECA6948"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5AF6D1B6"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13.</w:t>
            </w:r>
          </w:p>
        </w:tc>
        <w:tc>
          <w:tcPr>
            <w:tcW w:w="5580" w:type="dxa"/>
            <w:tcBorders>
              <w:top w:val="nil"/>
              <w:left w:val="nil"/>
              <w:bottom w:val="single" w:sz="4" w:space="0" w:color="auto"/>
              <w:right w:val="single" w:sz="4" w:space="0" w:color="auto"/>
            </w:tcBorders>
            <w:shd w:val="clear" w:color="auto" w:fill="auto"/>
            <w:hideMark/>
          </w:tcPr>
          <w:p w14:paraId="49D82648"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z tytułu pozostałych nie zidentyfikowanych ryzyk (w tym ryzyk trudno mierzalnych)</w:t>
            </w:r>
          </w:p>
        </w:tc>
        <w:tc>
          <w:tcPr>
            <w:tcW w:w="1480" w:type="dxa"/>
            <w:tcBorders>
              <w:top w:val="nil"/>
              <w:left w:val="nil"/>
              <w:bottom w:val="single" w:sz="4" w:space="0" w:color="auto"/>
              <w:right w:val="single" w:sz="4" w:space="0" w:color="auto"/>
            </w:tcBorders>
            <w:shd w:val="clear" w:color="auto" w:fill="auto"/>
            <w:hideMark/>
          </w:tcPr>
          <w:p w14:paraId="044178F8"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4%</w:t>
            </w:r>
          </w:p>
        </w:tc>
      </w:tr>
      <w:tr w:rsidR="00401835" w:rsidRPr="00401835" w14:paraId="65221060"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1635C8EC"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14.</w:t>
            </w:r>
          </w:p>
        </w:tc>
        <w:tc>
          <w:tcPr>
            <w:tcW w:w="5580" w:type="dxa"/>
            <w:tcBorders>
              <w:top w:val="nil"/>
              <w:left w:val="nil"/>
              <w:bottom w:val="single" w:sz="4" w:space="0" w:color="auto"/>
              <w:right w:val="single" w:sz="4" w:space="0" w:color="auto"/>
            </w:tcBorders>
            <w:shd w:val="clear" w:color="auto" w:fill="auto"/>
            <w:hideMark/>
          </w:tcPr>
          <w:p w14:paraId="2869D071"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 Suma dodatkowych wymogów kapitałowych</w:t>
            </w:r>
          </w:p>
        </w:tc>
        <w:tc>
          <w:tcPr>
            <w:tcW w:w="1480" w:type="dxa"/>
            <w:tcBorders>
              <w:top w:val="nil"/>
              <w:left w:val="nil"/>
              <w:bottom w:val="single" w:sz="4" w:space="0" w:color="auto"/>
              <w:right w:val="single" w:sz="4" w:space="0" w:color="auto"/>
            </w:tcBorders>
            <w:shd w:val="clear" w:color="auto" w:fill="auto"/>
            <w:hideMark/>
          </w:tcPr>
          <w:p w14:paraId="7E6E3632"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14%</w:t>
            </w:r>
          </w:p>
        </w:tc>
      </w:tr>
      <w:tr w:rsidR="00401835" w:rsidRPr="00401835" w14:paraId="541CFE9B" w14:textId="77777777" w:rsidTr="00E32497">
        <w:trPr>
          <w:trHeight w:val="285"/>
        </w:trPr>
        <w:tc>
          <w:tcPr>
            <w:tcW w:w="820" w:type="dxa"/>
            <w:tcBorders>
              <w:top w:val="nil"/>
              <w:left w:val="single" w:sz="4" w:space="0" w:color="auto"/>
              <w:bottom w:val="single" w:sz="4" w:space="0" w:color="auto"/>
              <w:right w:val="single" w:sz="4" w:space="0" w:color="auto"/>
            </w:tcBorders>
            <w:shd w:val="clear" w:color="auto" w:fill="auto"/>
            <w:hideMark/>
          </w:tcPr>
          <w:p w14:paraId="66DB2896"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 15.</w:t>
            </w:r>
          </w:p>
        </w:tc>
        <w:tc>
          <w:tcPr>
            <w:tcW w:w="5580" w:type="dxa"/>
            <w:tcBorders>
              <w:top w:val="nil"/>
              <w:left w:val="nil"/>
              <w:bottom w:val="single" w:sz="4" w:space="0" w:color="auto"/>
              <w:right w:val="single" w:sz="4" w:space="0" w:color="auto"/>
            </w:tcBorders>
            <w:shd w:val="clear" w:color="auto" w:fill="auto"/>
            <w:hideMark/>
          </w:tcPr>
          <w:p w14:paraId="00B0EA0C" w14:textId="77777777" w:rsidR="00401835" w:rsidRPr="00401835" w:rsidRDefault="00401835" w:rsidP="00401835">
            <w:pPr>
              <w:spacing w:after="0"/>
              <w:rPr>
                <w:rFonts w:ascii="Times New Roman" w:eastAsia="Times New Roman" w:hAnsi="Times New Roman" w:cs="Times New Roman"/>
                <w:bCs/>
                <w:lang w:eastAsia="pl-PL"/>
              </w:rPr>
            </w:pPr>
            <w:r w:rsidRPr="00401835">
              <w:rPr>
                <w:rFonts w:ascii="Times New Roman" w:eastAsia="Times New Roman" w:hAnsi="Times New Roman" w:cs="Times New Roman"/>
                <w:bCs/>
                <w:lang w:eastAsia="pl-PL"/>
              </w:rPr>
              <w:t> Wewnętrzny wskaźnik kapitałowy</w:t>
            </w:r>
          </w:p>
        </w:tc>
        <w:tc>
          <w:tcPr>
            <w:tcW w:w="1480" w:type="dxa"/>
            <w:tcBorders>
              <w:top w:val="nil"/>
              <w:left w:val="nil"/>
              <w:bottom w:val="single" w:sz="4" w:space="0" w:color="auto"/>
              <w:right w:val="single" w:sz="4" w:space="0" w:color="auto"/>
            </w:tcBorders>
            <w:shd w:val="clear" w:color="auto" w:fill="auto"/>
            <w:hideMark/>
          </w:tcPr>
          <w:p w14:paraId="1E0F82E3" w14:textId="77777777" w:rsidR="00401835" w:rsidRPr="00401835" w:rsidRDefault="00401835" w:rsidP="00401835">
            <w:pPr>
              <w:spacing w:after="0"/>
              <w:jc w:val="right"/>
              <w:rPr>
                <w:rFonts w:ascii="Times New Roman" w:eastAsia="Times New Roman" w:hAnsi="Times New Roman" w:cs="Times New Roman"/>
                <w:lang w:eastAsia="pl-PL"/>
              </w:rPr>
            </w:pPr>
            <w:r w:rsidRPr="00401835">
              <w:rPr>
                <w:rFonts w:ascii="Times New Roman" w:eastAsia="Times New Roman" w:hAnsi="Times New Roman" w:cs="Times New Roman"/>
                <w:lang w:eastAsia="pl-PL"/>
              </w:rPr>
              <w:t>15,00%</w:t>
            </w:r>
          </w:p>
        </w:tc>
      </w:tr>
    </w:tbl>
    <w:p w14:paraId="0C9A2D24" w14:textId="11C27467" w:rsidR="00401835" w:rsidRDefault="00401835" w:rsidP="008B6E40">
      <w:pPr>
        <w:pStyle w:val="Akapitzlist"/>
        <w:spacing w:line="240" w:lineRule="auto"/>
        <w:ind w:left="0"/>
        <w:jc w:val="both"/>
        <w:rPr>
          <w:rFonts w:ascii="Times New Roman" w:hAnsi="Times New Roman" w:cs="Times New Roman"/>
          <w:sz w:val="24"/>
          <w:szCs w:val="24"/>
        </w:rPr>
      </w:pPr>
    </w:p>
    <w:p w14:paraId="6BF86157" w14:textId="77777777" w:rsidR="00401835" w:rsidRPr="00C97DB1" w:rsidRDefault="00401835" w:rsidP="008B6E40">
      <w:pPr>
        <w:pStyle w:val="Akapitzlist"/>
        <w:spacing w:line="240" w:lineRule="auto"/>
        <w:ind w:left="0"/>
        <w:jc w:val="both"/>
        <w:rPr>
          <w:rFonts w:ascii="Times New Roman" w:hAnsi="Times New Roman" w:cs="Times New Roman"/>
          <w:sz w:val="24"/>
          <w:szCs w:val="24"/>
        </w:rPr>
      </w:pPr>
    </w:p>
    <w:p w14:paraId="589F944D" w14:textId="77777777" w:rsidR="00BE1CD9" w:rsidRPr="00C97DB1" w:rsidRDefault="00BE1CD9" w:rsidP="001E4B92">
      <w:pPr>
        <w:pStyle w:val="Akapitzlist"/>
        <w:spacing w:line="240" w:lineRule="auto"/>
        <w:ind w:left="426"/>
        <w:rPr>
          <w:rFonts w:ascii="Times New Roman" w:hAnsi="Times New Roman" w:cs="Times New Roman"/>
          <w:sz w:val="24"/>
          <w:szCs w:val="24"/>
        </w:rPr>
      </w:pPr>
    </w:p>
    <w:p w14:paraId="7499B3C3" w14:textId="77777777" w:rsidR="009B7CC0" w:rsidRPr="00C97DB1" w:rsidRDefault="003A705E" w:rsidP="005C0300">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C97DB1">
        <w:rPr>
          <w:rFonts w:ascii="Times New Roman" w:hAnsi="Times New Roman" w:cs="Times New Roman"/>
          <w:b/>
          <w:sz w:val="24"/>
          <w:szCs w:val="24"/>
        </w:rPr>
        <w:t>Liczba stanowisk dyrektorskich członków Zarządu</w:t>
      </w:r>
      <w:r w:rsidR="006C0BF1" w:rsidRPr="00C97DB1">
        <w:rPr>
          <w:rFonts w:ascii="Times New Roman" w:hAnsi="Times New Roman" w:cs="Times New Roman"/>
          <w:b/>
          <w:sz w:val="24"/>
          <w:szCs w:val="24"/>
        </w:rPr>
        <w:t xml:space="preserve"> i Rady Nadzorczej</w:t>
      </w:r>
    </w:p>
    <w:p w14:paraId="51A9CC91" w14:textId="0A64458E" w:rsidR="00313568" w:rsidRPr="00C97DB1" w:rsidRDefault="00313568" w:rsidP="005C0300">
      <w:pPr>
        <w:pStyle w:val="Akapitzlist"/>
        <w:spacing w:after="0" w:line="240" w:lineRule="auto"/>
        <w:ind w:left="0"/>
        <w:jc w:val="both"/>
        <w:rPr>
          <w:rFonts w:ascii="Times New Roman" w:hAnsi="Times New Roman" w:cs="Times New Roman"/>
          <w:sz w:val="24"/>
          <w:szCs w:val="24"/>
        </w:rPr>
      </w:pPr>
    </w:p>
    <w:p w14:paraId="15ABD8B3" w14:textId="77777777" w:rsidR="00A73BCB" w:rsidRPr="00C97DB1" w:rsidRDefault="00A73BCB" w:rsidP="00C97DB1">
      <w:pPr>
        <w:autoSpaceDE w:val="0"/>
        <w:autoSpaceDN w:val="0"/>
        <w:adjustRightInd w:val="0"/>
        <w:spacing w:after="0"/>
        <w:jc w:val="both"/>
        <w:rPr>
          <w:rFonts w:ascii="Times New Roman" w:hAnsi="Times New Roman" w:cs="Times New Roman"/>
          <w:sz w:val="24"/>
          <w:szCs w:val="24"/>
        </w:rPr>
      </w:pPr>
      <w:r w:rsidRPr="00C97DB1">
        <w:rPr>
          <w:rFonts w:ascii="Times New Roman" w:hAnsi="Times New Roman" w:cs="Times New Roman"/>
          <w:sz w:val="24"/>
          <w:szCs w:val="24"/>
        </w:rPr>
        <w:t xml:space="preserve">Zgodnie z art. 22aa ust 2 ustawy Prawo Bankowe liczba funkcji członka Zarządu lub Rady Nadzorczej pełnionych jednocześnie przez członka Zarządu lub Rady Nadzorczej banku jest uzależniona od indywidualnych okoliczności oraz charakteru, a także skali i stopnia złożoności działalności banku. </w:t>
      </w:r>
    </w:p>
    <w:p w14:paraId="43CD12A8" w14:textId="7CA50252" w:rsidR="00A73BCB" w:rsidRPr="00C97DB1" w:rsidRDefault="00A73BCB" w:rsidP="00A73BCB">
      <w:pPr>
        <w:pStyle w:val="Akapitzlist"/>
        <w:spacing w:after="0"/>
        <w:ind w:left="0"/>
        <w:jc w:val="both"/>
        <w:rPr>
          <w:rFonts w:ascii="Times New Roman" w:hAnsi="Times New Roman" w:cs="Times New Roman"/>
          <w:sz w:val="24"/>
          <w:szCs w:val="24"/>
        </w:rPr>
      </w:pPr>
      <w:r w:rsidRPr="00C97DB1">
        <w:rPr>
          <w:rFonts w:ascii="Times New Roman" w:hAnsi="Times New Roman" w:cs="Times New Roman"/>
          <w:sz w:val="24"/>
          <w:szCs w:val="24"/>
        </w:rPr>
        <w:t>Bank oświadcza, że żaden z członków Zarządu oraz Rady Nadzorczej nie pełni dodatkowej funkcji członka Zarządu lub Rady Nadzorczej w innych podmiotach.</w:t>
      </w:r>
    </w:p>
    <w:p w14:paraId="3E97B6D4" w14:textId="77777777" w:rsidR="009B7CC0" w:rsidRPr="00C97DB1" w:rsidRDefault="009B7CC0" w:rsidP="005C0300">
      <w:pPr>
        <w:pStyle w:val="Akapitzlist"/>
        <w:spacing w:after="0" w:line="240" w:lineRule="auto"/>
        <w:ind w:left="0"/>
        <w:jc w:val="both"/>
        <w:rPr>
          <w:rFonts w:ascii="Times New Roman" w:hAnsi="Times New Roman" w:cs="Times New Roman"/>
          <w:sz w:val="24"/>
          <w:szCs w:val="24"/>
        </w:rPr>
      </w:pPr>
    </w:p>
    <w:p w14:paraId="5D4DBECD" w14:textId="77777777" w:rsidR="009B7CC0" w:rsidRPr="00C97DB1" w:rsidRDefault="00583285" w:rsidP="005C0300">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C97DB1">
        <w:rPr>
          <w:rFonts w:ascii="Times New Roman" w:hAnsi="Times New Roman" w:cs="Times New Roman"/>
          <w:b/>
          <w:sz w:val="24"/>
          <w:szCs w:val="24"/>
        </w:rPr>
        <w:t xml:space="preserve">Polityka wyboru </w:t>
      </w:r>
      <w:r w:rsidR="001C5AA8" w:rsidRPr="00C97DB1">
        <w:rPr>
          <w:rFonts w:ascii="Times New Roman" w:hAnsi="Times New Roman" w:cs="Times New Roman"/>
          <w:b/>
          <w:sz w:val="24"/>
          <w:szCs w:val="24"/>
        </w:rPr>
        <w:t>członków Zarządu</w:t>
      </w:r>
      <w:r w:rsidR="006C0BF1" w:rsidRPr="00C97DB1">
        <w:rPr>
          <w:rFonts w:ascii="Times New Roman" w:hAnsi="Times New Roman" w:cs="Times New Roman"/>
          <w:b/>
          <w:sz w:val="24"/>
          <w:szCs w:val="24"/>
        </w:rPr>
        <w:t xml:space="preserve"> i Rady Nadzorczej</w:t>
      </w:r>
      <w:r w:rsidR="001C5AA8" w:rsidRPr="00C97DB1">
        <w:rPr>
          <w:rFonts w:ascii="Times New Roman" w:hAnsi="Times New Roman" w:cs="Times New Roman"/>
          <w:b/>
          <w:sz w:val="24"/>
          <w:szCs w:val="24"/>
        </w:rPr>
        <w:t xml:space="preserve"> w Banku</w:t>
      </w:r>
      <w:r w:rsidR="00D12440" w:rsidRPr="00C97DB1">
        <w:rPr>
          <w:rFonts w:ascii="Times New Roman" w:hAnsi="Times New Roman" w:cs="Times New Roman"/>
          <w:b/>
          <w:sz w:val="24"/>
          <w:szCs w:val="24"/>
        </w:rPr>
        <w:t>, strategia zróżnicowania wyboru, informacja o odpowiedniości</w:t>
      </w:r>
    </w:p>
    <w:p w14:paraId="06935A39" w14:textId="77777777" w:rsidR="00BE1CD9" w:rsidRPr="00ED417D" w:rsidRDefault="00BE1CD9" w:rsidP="00D12440">
      <w:pPr>
        <w:pStyle w:val="Akapitzlist"/>
        <w:spacing w:after="0" w:line="240" w:lineRule="auto"/>
        <w:ind w:left="0"/>
        <w:jc w:val="both"/>
        <w:rPr>
          <w:rFonts w:ascii="Times New Roman" w:eastAsia="Times New Roman" w:hAnsi="Times New Roman" w:cs="Times New Roman"/>
          <w:i/>
          <w:color w:val="FF0000"/>
          <w:sz w:val="24"/>
          <w:szCs w:val="24"/>
          <w:lang w:eastAsia="pl-PL"/>
        </w:rPr>
      </w:pPr>
    </w:p>
    <w:p w14:paraId="4F8B9719" w14:textId="12D0F83A" w:rsidR="00C10AEC" w:rsidRDefault="0080476E" w:rsidP="00CF46D1">
      <w:pPr>
        <w:autoSpaceDE w:val="0"/>
        <w:autoSpaceDN w:val="0"/>
        <w:adjustRightInd w:val="0"/>
        <w:spacing w:after="0"/>
        <w:jc w:val="both"/>
        <w:rPr>
          <w:rFonts w:ascii="Times New Roman" w:hAnsi="Times New Roman" w:cs="Times New Roman"/>
        </w:rPr>
      </w:pPr>
      <w:r w:rsidRPr="00C10AEC">
        <w:rPr>
          <w:rFonts w:ascii="Times New Roman" w:hAnsi="Times New Roman" w:cs="Times New Roman"/>
        </w:rPr>
        <w:t>Zgodnie z obowiązującą w Banku „</w:t>
      </w:r>
      <w:bookmarkStart w:id="3" w:name="_Hlk74832637"/>
      <w:r w:rsidRPr="00C10AEC">
        <w:rPr>
          <w:rFonts w:ascii="Times New Roman" w:hAnsi="Times New Roman" w:cs="Times New Roman"/>
        </w:rPr>
        <w:t>P</w:t>
      </w:r>
      <w:r w:rsidR="00C97DB1" w:rsidRPr="00C10AEC">
        <w:rPr>
          <w:rFonts w:ascii="Times New Roman" w:hAnsi="Times New Roman" w:cs="Times New Roman"/>
        </w:rPr>
        <w:t>olity</w:t>
      </w:r>
      <w:r w:rsidR="00F6234D" w:rsidRPr="00C10AEC">
        <w:rPr>
          <w:rFonts w:ascii="Times New Roman" w:hAnsi="Times New Roman" w:cs="Times New Roman"/>
        </w:rPr>
        <w:t>ką oceny odpowiedniości członków Zarządu Banku oraz członków Rady Nadzorczej w Banku Spółdzielczym”</w:t>
      </w:r>
      <w:r w:rsidRPr="00C10AEC">
        <w:rPr>
          <w:rFonts w:ascii="Times New Roman" w:hAnsi="Times New Roman" w:cs="Times New Roman"/>
        </w:rPr>
        <w:t xml:space="preserve"> </w:t>
      </w:r>
      <w:bookmarkEnd w:id="3"/>
      <w:r w:rsidRPr="00C10AEC">
        <w:rPr>
          <w:rFonts w:ascii="Times New Roman" w:hAnsi="Times New Roman" w:cs="Times New Roman"/>
        </w:rPr>
        <w:t xml:space="preserve">dokonywana jest przez Zebranie Przedstawicieli Banku Spółdzielczego w Iłowej ocena </w:t>
      </w:r>
      <w:r w:rsidR="004E2864" w:rsidRPr="00C10AEC">
        <w:rPr>
          <w:rFonts w:ascii="Times New Roman" w:hAnsi="Times New Roman" w:cs="Times New Roman"/>
        </w:rPr>
        <w:t xml:space="preserve">odpowiedniości </w:t>
      </w:r>
      <w:r w:rsidR="00BA1D57">
        <w:rPr>
          <w:rFonts w:ascii="Times New Roman" w:hAnsi="Times New Roman" w:cs="Times New Roman"/>
        </w:rPr>
        <w:t xml:space="preserve">kandydatów oraz </w:t>
      </w:r>
      <w:r w:rsidRPr="00C10AEC">
        <w:rPr>
          <w:rFonts w:ascii="Times New Roman" w:hAnsi="Times New Roman" w:cs="Times New Roman"/>
        </w:rPr>
        <w:t>członków Rady Nadzorczej.</w:t>
      </w:r>
      <w:r w:rsidR="00F6234D" w:rsidRPr="00C10AEC">
        <w:rPr>
          <w:rFonts w:ascii="Times New Roman" w:hAnsi="Times New Roman" w:cs="Times New Roman"/>
        </w:rPr>
        <w:t xml:space="preserve"> Kryteria </w:t>
      </w:r>
      <w:r w:rsidR="00C10AEC" w:rsidRPr="00C10AEC">
        <w:rPr>
          <w:rFonts w:ascii="Times New Roman" w:hAnsi="Times New Roman" w:cs="Times New Roman"/>
        </w:rPr>
        <w:t>mające zastosowanie do osoby ocenianej dotyczą:</w:t>
      </w:r>
    </w:p>
    <w:p w14:paraId="0E03552B" w14:textId="30DE4C33" w:rsidR="00C10AEC" w:rsidRPr="00C10AEC" w:rsidRDefault="00C10AEC" w:rsidP="00C10AEC">
      <w:pPr>
        <w:pStyle w:val="Akapitzlist"/>
        <w:numPr>
          <w:ilvl w:val="1"/>
          <w:numId w:val="37"/>
        </w:numPr>
        <w:autoSpaceDE w:val="0"/>
        <w:autoSpaceDN w:val="0"/>
        <w:adjustRightInd w:val="0"/>
        <w:spacing w:after="0"/>
        <w:ind w:left="426" w:hanging="426"/>
        <w:jc w:val="both"/>
        <w:rPr>
          <w:rFonts w:ascii="Times New Roman" w:hAnsi="Times New Roman" w:cs="Times New Roman"/>
        </w:rPr>
      </w:pPr>
      <w:r w:rsidRPr="00C10AEC">
        <w:rPr>
          <w:rFonts w:ascii="Times New Roman" w:hAnsi="Times New Roman" w:cs="Times New Roman"/>
        </w:rPr>
        <w:t xml:space="preserve"> umiejętności i doświadczenia zawodowego,</w:t>
      </w:r>
    </w:p>
    <w:p w14:paraId="2D311676" w14:textId="24FA318C" w:rsidR="00C10AEC" w:rsidRPr="00C10AEC" w:rsidRDefault="00CF46D1" w:rsidP="00C10AEC">
      <w:pPr>
        <w:pStyle w:val="Akapitzlist"/>
        <w:numPr>
          <w:ilvl w:val="1"/>
          <w:numId w:val="37"/>
        </w:numPr>
        <w:autoSpaceDE w:val="0"/>
        <w:autoSpaceDN w:val="0"/>
        <w:adjustRightInd w:val="0"/>
        <w:spacing w:after="0"/>
        <w:ind w:left="426" w:hanging="426"/>
        <w:jc w:val="both"/>
        <w:rPr>
          <w:rFonts w:ascii="Times New Roman" w:hAnsi="Times New Roman" w:cs="Times New Roman"/>
          <w:sz w:val="24"/>
          <w:szCs w:val="24"/>
        </w:rPr>
      </w:pPr>
      <w:r w:rsidRPr="00C10AEC">
        <w:rPr>
          <w:rFonts w:ascii="Times New Roman" w:hAnsi="Times New Roman" w:cs="Times New Roman"/>
        </w:rPr>
        <w:t xml:space="preserve"> </w:t>
      </w:r>
      <w:r w:rsidR="00C10AEC" w:rsidRPr="00C10AEC">
        <w:rPr>
          <w:rFonts w:ascii="Times New Roman" w:hAnsi="Times New Roman" w:cs="Times New Roman"/>
        </w:rPr>
        <w:t>rękojmi należytego wykonania funkcji,</w:t>
      </w:r>
    </w:p>
    <w:p w14:paraId="683C2EB2" w14:textId="33F18BEC" w:rsidR="00C10AEC" w:rsidRPr="00C10AEC" w:rsidRDefault="00C10AEC" w:rsidP="00C10AEC">
      <w:pPr>
        <w:pStyle w:val="Akapitzlist"/>
        <w:numPr>
          <w:ilvl w:val="1"/>
          <w:numId w:val="37"/>
        </w:numPr>
        <w:autoSpaceDE w:val="0"/>
        <w:autoSpaceDN w:val="0"/>
        <w:adjustRightInd w:val="0"/>
        <w:spacing w:after="0"/>
        <w:ind w:left="426" w:hanging="426"/>
        <w:jc w:val="both"/>
        <w:rPr>
          <w:rFonts w:ascii="Times New Roman" w:hAnsi="Times New Roman" w:cs="Times New Roman"/>
          <w:sz w:val="24"/>
          <w:szCs w:val="24"/>
        </w:rPr>
      </w:pPr>
      <w:r w:rsidRPr="00C10AEC">
        <w:rPr>
          <w:rFonts w:ascii="Times New Roman" w:hAnsi="Times New Roman" w:cs="Times New Roman"/>
        </w:rPr>
        <w:t xml:space="preserve"> poświęcenia czasu na wykonywanie obowiązków w Banku,</w:t>
      </w:r>
    </w:p>
    <w:p w14:paraId="32982AAE" w14:textId="0DBB84A1" w:rsidR="00C10AEC" w:rsidRPr="00C10AEC" w:rsidRDefault="00C10AEC" w:rsidP="00C10AEC">
      <w:pPr>
        <w:pStyle w:val="Akapitzlist"/>
        <w:numPr>
          <w:ilvl w:val="1"/>
          <w:numId w:val="37"/>
        </w:numPr>
        <w:autoSpaceDE w:val="0"/>
        <w:autoSpaceDN w:val="0"/>
        <w:adjustRightInd w:val="0"/>
        <w:spacing w:after="0"/>
        <w:ind w:left="426" w:hanging="426"/>
        <w:jc w:val="both"/>
        <w:rPr>
          <w:rFonts w:ascii="Times New Roman" w:hAnsi="Times New Roman" w:cs="Times New Roman"/>
          <w:sz w:val="24"/>
          <w:szCs w:val="24"/>
        </w:rPr>
      </w:pPr>
      <w:r w:rsidRPr="00C10AEC">
        <w:rPr>
          <w:rFonts w:ascii="Times New Roman" w:hAnsi="Times New Roman" w:cs="Times New Roman"/>
          <w:sz w:val="24"/>
          <w:szCs w:val="24"/>
        </w:rPr>
        <w:t xml:space="preserve"> niezależność,</w:t>
      </w:r>
    </w:p>
    <w:p w14:paraId="2DBBAEF8" w14:textId="4C215753" w:rsidR="00C10AEC" w:rsidRPr="00C10AEC" w:rsidRDefault="00C10AEC" w:rsidP="00C10AEC">
      <w:pPr>
        <w:pStyle w:val="Akapitzlist"/>
        <w:numPr>
          <w:ilvl w:val="1"/>
          <w:numId w:val="37"/>
        </w:numPr>
        <w:autoSpaceDE w:val="0"/>
        <w:autoSpaceDN w:val="0"/>
        <w:adjustRightInd w:val="0"/>
        <w:spacing w:after="0"/>
        <w:ind w:left="426" w:hanging="426"/>
        <w:jc w:val="both"/>
        <w:rPr>
          <w:rFonts w:ascii="Times New Roman" w:hAnsi="Times New Roman" w:cs="Times New Roman"/>
          <w:sz w:val="24"/>
          <w:szCs w:val="24"/>
        </w:rPr>
      </w:pPr>
      <w:r w:rsidRPr="00C10AEC">
        <w:rPr>
          <w:rFonts w:ascii="Times New Roman" w:hAnsi="Times New Roman" w:cs="Times New Roman"/>
          <w:sz w:val="24"/>
          <w:szCs w:val="24"/>
        </w:rPr>
        <w:lastRenderedPageBreak/>
        <w:t>powiązania z Bankiem Spółdzielczym,</w:t>
      </w:r>
    </w:p>
    <w:p w14:paraId="714AD139" w14:textId="30C46715" w:rsidR="00CF46D1" w:rsidRPr="00C10AEC" w:rsidRDefault="00CF46D1" w:rsidP="00C10AEC">
      <w:pPr>
        <w:pStyle w:val="Akapitzlist"/>
        <w:autoSpaceDE w:val="0"/>
        <w:autoSpaceDN w:val="0"/>
        <w:adjustRightInd w:val="0"/>
        <w:spacing w:after="0"/>
        <w:ind w:left="0"/>
        <w:jc w:val="both"/>
        <w:rPr>
          <w:rFonts w:ascii="Times New Roman" w:hAnsi="Times New Roman" w:cs="Times New Roman"/>
          <w:sz w:val="24"/>
          <w:szCs w:val="24"/>
        </w:rPr>
      </w:pPr>
      <w:r w:rsidRPr="00C10AEC">
        <w:rPr>
          <w:rFonts w:ascii="Times New Roman" w:hAnsi="Times New Roman" w:cs="Times New Roman"/>
        </w:rPr>
        <w:t>a także bieżące ich monitorowanie. Przy dokonywaniu indywidualnej oceny kandydata na członka Rady Nadzorczej uwzględnia się cechy i kompetencje istotne z punktu widzenia zapewnienia prawidłowości i realizacji zadań przez Rad</w:t>
      </w:r>
      <w:r w:rsidR="00C10AEC" w:rsidRPr="00C10AEC">
        <w:rPr>
          <w:rFonts w:ascii="Times New Roman" w:hAnsi="Times New Roman" w:cs="Times New Roman"/>
        </w:rPr>
        <w:t>ę</w:t>
      </w:r>
      <w:r w:rsidRPr="00C10AEC">
        <w:rPr>
          <w:rFonts w:ascii="Times New Roman" w:hAnsi="Times New Roman" w:cs="Times New Roman"/>
        </w:rPr>
        <w:t xml:space="preserve"> Nadzorczą, jak również adekwatność jego wiedzy, umiejętności i doświadczenia, do pełnionych przez nich funkcji oraz rękojmię należytego wykonywania tych funkcji. Ocena indywidualna obejmuje ustalenie czy osoba oceniana posiada kwalifikacje niezbędne do sprawowania funkcji nadzorczych (wiedza, umiejętności, doświadczenie), ustalenie czy zaistniałe fakty i okoliczności mają wpływ na reputacje Banku. </w:t>
      </w:r>
      <w:r w:rsidRPr="00C10AEC">
        <w:rPr>
          <w:rFonts w:ascii="Times New Roman" w:hAnsi="Times New Roman" w:cs="Times New Roman"/>
          <w:sz w:val="24"/>
          <w:szCs w:val="24"/>
        </w:rPr>
        <w:t>W ramach procesu wyboru członków Rady Nadzorczej Zebranie Przedstawicieli</w:t>
      </w:r>
      <w:r w:rsidR="00BA1D57">
        <w:rPr>
          <w:rFonts w:ascii="Times New Roman" w:hAnsi="Times New Roman" w:cs="Times New Roman"/>
          <w:sz w:val="24"/>
          <w:szCs w:val="24"/>
        </w:rPr>
        <w:t xml:space="preserve"> dokonuje oceny odpowiedniości kandydata przed powołaniem w skład Rady Nadzorczej.</w:t>
      </w:r>
    </w:p>
    <w:p w14:paraId="701A1104" w14:textId="77777777" w:rsidR="00BA1D57" w:rsidRPr="00BA1D57" w:rsidRDefault="00BA1D57" w:rsidP="008377FB">
      <w:pPr>
        <w:autoSpaceDE w:val="0"/>
        <w:autoSpaceDN w:val="0"/>
        <w:adjustRightInd w:val="0"/>
        <w:spacing w:after="0" w:line="240" w:lineRule="auto"/>
        <w:jc w:val="both"/>
        <w:rPr>
          <w:rFonts w:ascii="Times New Roman" w:hAnsi="Times New Roman" w:cs="Times New Roman"/>
          <w:sz w:val="24"/>
          <w:szCs w:val="24"/>
        </w:rPr>
      </w:pPr>
    </w:p>
    <w:p w14:paraId="4173882C" w14:textId="7EDAE90C" w:rsidR="00CF46D1" w:rsidRPr="00BA1D57" w:rsidRDefault="0080476E" w:rsidP="008377FB">
      <w:pPr>
        <w:autoSpaceDE w:val="0"/>
        <w:autoSpaceDN w:val="0"/>
        <w:adjustRightInd w:val="0"/>
        <w:spacing w:after="0" w:line="240" w:lineRule="auto"/>
        <w:jc w:val="both"/>
        <w:rPr>
          <w:rFonts w:ascii="Times New Roman" w:hAnsi="Times New Roman" w:cs="Times New Roman"/>
          <w:sz w:val="24"/>
          <w:szCs w:val="24"/>
        </w:rPr>
      </w:pPr>
      <w:r w:rsidRPr="00BA1D57">
        <w:rPr>
          <w:rFonts w:ascii="Times New Roman" w:hAnsi="Times New Roman" w:cs="Times New Roman"/>
          <w:sz w:val="24"/>
          <w:szCs w:val="24"/>
        </w:rPr>
        <w:t xml:space="preserve">Rada Nadzorcza dokonuje oceny </w:t>
      </w:r>
      <w:r w:rsidR="004E2864" w:rsidRPr="00BA1D57">
        <w:rPr>
          <w:rFonts w:ascii="Times New Roman" w:hAnsi="Times New Roman" w:cs="Times New Roman"/>
          <w:sz w:val="24"/>
          <w:szCs w:val="24"/>
        </w:rPr>
        <w:t xml:space="preserve">odpowiedniości członków </w:t>
      </w:r>
      <w:r w:rsidRPr="00BA1D57">
        <w:rPr>
          <w:rFonts w:ascii="Times New Roman" w:hAnsi="Times New Roman" w:cs="Times New Roman"/>
          <w:sz w:val="24"/>
          <w:szCs w:val="24"/>
        </w:rPr>
        <w:t>Zarządu zgodnie z obowiązującą w Banku</w:t>
      </w:r>
      <w:r w:rsidR="008377FB" w:rsidRPr="00BA1D57">
        <w:rPr>
          <w:rFonts w:ascii="Times New Roman" w:hAnsi="Times New Roman" w:cs="Times New Roman"/>
          <w:sz w:val="24"/>
          <w:szCs w:val="24"/>
        </w:rPr>
        <w:t xml:space="preserve"> „</w:t>
      </w:r>
      <w:r w:rsidR="00BA1D57" w:rsidRPr="00BA1D57">
        <w:rPr>
          <w:rFonts w:ascii="Times New Roman" w:hAnsi="Times New Roman" w:cs="Times New Roman"/>
          <w:sz w:val="24"/>
          <w:szCs w:val="24"/>
        </w:rPr>
        <w:t xml:space="preserve">Polityką oceny odpowiedniości członków Zarządu Banku oraz członków Rady Nadzorczej w Banku Spółdzielczym”. </w:t>
      </w:r>
      <w:r w:rsidRPr="00BA1D57">
        <w:rPr>
          <w:rFonts w:ascii="Times New Roman" w:hAnsi="Times New Roman" w:cs="Times New Roman"/>
          <w:sz w:val="24"/>
          <w:szCs w:val="24"/>
        </w:rPr>
        <w:t>Ocena</w:t>
      </w:r>
      <w:r w:rsidR="008377FB" w:rsidRPr="00BA1D57">
        <w:rPr>
          <w:rFonts w:ascii="Times New Roman" w:hAnsi="Times New Roman" w:cs="Times New Roman"/>
          <w:sz w:val="24"/>
          <w:szCs w:val="24"/>
        </w:rPr>
        <w:t xml:space="preserve"> ma na celu stwierdzenie czy poszczególni członkowie Zarządu z osobna oraz Zarząd kolegialnie dają rękojmię ostrożnego i stabilnego zarządzania Bankiem, w tym prowadzenia działalności bankowej z zachowaniem bezpieczeństwa wkładów i lokat w nim zgromadzonych, a także czy posiadają wiedzę, doświadczenie i umiejętności niezbędne do realizacji zarządzania ryzykiem oraz czy ich reputacja osobista nie stwarza zagrożenia dla utraty reputacji</w:t>
      </w:r>
      <w:r w:rsidRPr="00BA1D57">
        <w:rPr>
          <w:rFonts w:ascii="Times New Roman" w:hAnsi="Times New Roman" w:cs="Times New Roman"/>
          <w:sz w:val="24"/>
          <w:szCs w:val="24"/>
        </w:rPr>
        <w:t xml:space="preserve"> Banku.</w:t>
      </w:r>
    </w:p>
    <w:p w14:paraId="5D9384A0" w14:textId="77777777" w:rsidR="00CF46D1" w:rsidRPr="00D3332C" w:rsidRDefault="00CF46D1" w:rsidP="008377FB">
      <w:pPr>
        <w:pStyle w:val="Akapitzlist"/>
        <w:spacing w:after="0" w:line="240" w:lineRule="auto"/>
        <w:ind w:left="0"/>
        <w:jc w:val="both"/>
        <w:rPr>
          <w:rFonts w:ascii="Times New Roman" w:eastAsia="Times New Roman" w:hAnsi="Times New Roman" w:cs="Times New Roman"/>
          <w:sz w:val="24"/>
          <w:szCs w:val="24"/>
          <w:lang w:eastAsia="pl-PL"/>
        </w:rPr>
      </w:pPr>
    </w:p>
    <w:p w14:paraId="27416B52" w14:textId="77777777" w:rsidR="00352918" w:rsidRPr="00D3332C" w:rsidRDefault="00A73935" w:rsidP="002B3B9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D3332C">
        <w:rPr>
          <w:rFonts w:ascii="Times New Roman" w:hAnsi="Times New Roman" w:cs="Times New Roman"/>
          <w:b/>
          <w:sz w:val="24"/>
          <w:szCs w:val="24"/>
        </w:rPr>
        <w:t>Inform</w:t>
      </w:r>
      <w:r w:rsidR="00BA511D" w:rsidRPr="00D3332C">
        <w:rPr>
          <w:rFonts w:ascii="Times New Roman" w:hAnsi="Times New Roman" w:cs="Times New Roman"/>
          <w:b/>
          <w:sz w:val="24"/>
          <w:szCs w:val="24"/>
        </w:rPr>
        <w:t>acja o Komitetach powołanych w B</w:t>
      </w:r>
      <w:r w:rsidRPr="00D3332C">
        <w:rPr>
          <w:rFonts w:ascii="Times New Roman" w:hAnsi="Times New Roman" w:cs="Times New Roman"/>
          <w:b/>
          <w:sz w:val="24"/>
          <w:szCs w:val="24"/>
        </w:rPr>
        <w:t>anku</w:t>
      </w:r>
    </w:p>
    <w:p w14:paraId="13BEEDA7" w14:textId="77777777" w:rsidR="00110425" w:rsidRPr="00D3332C" w:rsidRDefault="00110425" w:rsidP="00300B77">
      <w:pPr>
        <w:pStyle w:val="Akapitzlist"/>
        <w:spacing w:after="0" w:line="240" w:lineRule="auto"/>
        <w:ind w:left="0"/>
        <w:jc w:val="both"/>
        <w:rPr>
          <w:rFonts w:ascii="Times New Roman" w:hAnsi="Times New Roman" w:cs="Times New Roman"/>
          <w:sz w:val="24"/>
          <w:szCs w:val="24"/>
        </w:rPr>
      </w:pPr>
    </w:p>
    <w:p w14:paraId="1EAFD060" w14:textId="77777777" w:rsidR="00110425" w:rsidRPr="00D3332C" w:rsidRDefault="00110425" w:rsidP="00300B77">
      <w:pPr>
        <w:pStyle w:val="Akapitzlist"/>
        <w:spacing w:after="0" w:line="240" w:lineRule="auto"/>
        <w:ind w:left="0"/>
        <w:jc w:val="both"/>
        <w:rPr>
          <w:rFonts w:ascii="Times New Roman" w:hAnsi="Times New Roman" w:cs="Times New Roman"/>
          <w:sz w:val="24"/>
          <w:szCs w:val="24"/>
        </w:rPr>
      </w:pPr>
      <w:r w:rsidRPr="00D3332C">
        <w:rPr>
          <w:rFonts w:ascii="Times New Roman" w:hAnsi="Times New Roman" w:cs="Times New Roman"/>
          <w:sz w:val="24"/>
          <w:szCs w:val="24"/>
        </w:rPr>
        <w:t>W Banku funkcjonują następujące komitety, pełniące rolę doradczą w zarządzaniu ryzykiem:</w:t>
      </w:r>
    </w:p>
    <w:p w14:paraId="10CC737D" w14:textId="11F395A6" w:rsidR="001142D0" w:rsidRPr="00D3332C" w:rsidRDefault="00D52BA5" w:rsidP="001142D0">
      <w:pPr>
        <w:pStyle w:val="Akapitzlist"/>
        <w:numPr>
          <w:ilvl w:val="0"/>
          <w:numId w:val="5"/>
        </w:numPr>
        <w:spacing w:after="0" w:line="240" w:lineRule="auto"/>
        <w:ind w:left="426" w:hanging="426"/>
        <w:jc w:val="both"/>
        <w:rPr>
          <w:rFonts w:ascii="Times New Roman" w:hAnsi="Times New Roman" w:cs="Times New Roman"/>
          <w:sz w:val="24"/>
          <w:szCs w:val="24"/>
        </w:rPr>
      </w:pPr>
      <w:r w:rsidRPr="00D3332C">
        <w:rPr>
          <w:rFonts w:ascii="Times New Roman" w:hAnsi="Times New Roman" w:cs="Times New Roman"/>
          <w:sz w:val="24"/>
          <w:szCs w:val="24"/>
        </w:rPr>
        <w:t>Komitet Kredytowy</w:t>
      </w:r>
      <w:r w:rsidR="00C216E0" w:rsidRPr="00D3332C">
        <w:rPr>
          <w:rFonts w:ascii="Times New Roman" w:hAnsi="Times New Roman" w:cs="Times New Roman"/>
          <w:sz w:val="24"/>
          <w:szCs w:val="24"/>
        </w:rPr>
        <w:t xml:space="preserve">, </w:t>
      </w:r>
      <w:r w:rsidR="001142D0" w:rsidRPr="00D3332C">
        <w:rPr>
          <w:rFonts w:ascii="Times New Roman" w:hAnsi="Times New Roman" w:cs="Times New Roman"/>
          <w:sz w:val="24"/>
          <w:szCs w:val="24"/>
        </w:rPr>
        <w:t>który spotyka się każdorazowo przed podjęciem decyzji kredytowej przez upoważnione osoby. Jest kolegialnym organem opiniodawczym, do którego kompetencji należy wydawanie opinii (zgodnie z „Instrukcją zarządzania ryzykiem kredytowym”).</w:t>
      </w:r>
    </w:p>
    <w:p w14:paraId="36D7BC18" w14:textId="30AC05F5" w:rsidR="00C66867" w:rsidRPr="00D3332C" w:rsidRDefault="001142D0" w:rsidP="00BA1D57">
      <w:pPr>
        <w:pStyle w:val="Akapitzlist"/>
        <w:numPr>
          <w:ilvl w:val="0"/>
          <w:numId w:val="5"/>
        </w:numPr>
        <w:spacing w:after="0" w:line="240" w:lineRule="auto"/>
        <w:ind w:left="426" w:hanging="426"/>
        <w:jc w:val="both"/>
        <w:rPr>
          <w:rFonts w:ascii="Times New Roman" w:hAnsi="Times New Roman" w:cs="Times New Roman"/>
          <w:sz w:val="24"/>
          <w:szCs w:val="24"/>
        </w:rPr>
      </w:pPr>
      <w:r w:rsidRPr="00D3332C">
        <w:rPr>
          <w:rFonts w:ascii="Times New Roman" w:hAnsi="Times New Roman" w:cs="Times New Roman"/>
          <w:sz w:val="24"/>
          <w:szCs w:val="24"/>
        </w:rPr>
        <w:t xml:space="preserve">Komitet Audytu </w:t>
      </w:r>
      <w:r w:rsidR="00915958" w:rsidRPr="00D3332C">
        <w:rPr>
          <w:rFonts w:ascii="Times New Roman" w:hAnsi="Times New Roman" w:cs="Times New Roman"/>
          <w:sz w:val="24"/>
          <w:szCs w:val="24"/>
        </w:rPr>
        <w:t xml:space="preserve">wyłoniony z Rady Nadzorczej, który spotyka się </w:t>
      </w:r>
      <w:r w:rsidR="00C66867" w:rsidRPr="00D3332C">
        <w:rPr>
          <w:rFonts w:ascii="Times New Roman" w:eastAsia="Times New Roman" w:hAnsi="Times New Roman" w:cs="Times New Roman"/>
          <w:sz w:val="24"/>
          <w:szCs w:val="24"/>
          <w:lang w:eastAsia="ar-SA"/>
        </w:rPr>
        <w:t>w miarę potrzeb, nie rzadziej jednak niż raz w kwartale. W 20</w:t>
      </w:r>
      <w:r w:rsidR="00BA1D57" w:rsidRPr="00D3332C">
        <w:rPr>
          <w:rFonts w:ascii="Times New Roman" w:eastAsia="Times New Roman" w:hAnsi="Times New Roman" w:cs="Times New Roman"/>
          <w:sz w:val="24"/>
          <w:szCs w:val="24"/>
          <w:lang w:eastAsia="ar-SA"/>
        </w:rPr>
        <w:t>20</w:t>
      </w:r>
      <w:r w:rsidR="00C66867" w:rsidRPr="00D3332C">
        <w:rPr>
          <w:rFonts w:ascii="Times New Roman" w:eastAsia="Times New Roman" w:hAnsi="Times New Roman" w:cs="Times New Roman"/>
          <w:sz w:val="24"/>
          <w:szCs w:val="24"/>
          <w:lang w:eastAsia="ar-SA"/>
        </w:rPr>
        <w:t xml:space="preserve"> r. odbyło się 5 posiedzeń KA.</w:t>
      </w:r>
    </w:p>
    <w:p w14:paraId="7C8FC0EC" w14:textId="7202224F" w:rsidR="001142D0" w:rsidRPr="00D3332C" w:rsidRDefault="00915958" w:rsidP="000C62C3">
      <w:pPr>
        <w:pStyle w:val="Akapitzlist"/>
        <w:numPr>
          <w:ilvl w:val="0"/>
          <w:numId w:val="5"/>
        </w:numPr>
        <w:spacing w:after="0" w:line="240" w:lineRule="auto"/>
        <w:ind w:left="426" w:hanging="426"/>
        <w:jc w:val="both"/>
        <w:rPr>
          <w:rFonts w:ascii="Times New Roman" w:hAnsi="Times New Roman" w:cs="Times New Roman"/>
          <w:sz w:val="24"/>
          <w:szCs w:val="24"/>
        </w:rPr>
      </w:pPr>
      <w:r w:rsidRPr="00D3332C">
        <w:rPr>
          <w:rFonts w:ascii="Times New Roman" w:hAnsi="Times New Roman" w:cs="Times New Roman"/>
          <w:sz w:val="24"/>
          <w:szCs w:val="24"/>
        </w:rPr>
        <w:t>Komitet Zarządzania Ryzykami, który spotyka się w miarę potrzeb, jednak nie rzadziej niż raz w miesiącu</w:t>
      </w:r>
      <w:r w:rsidR="00F17EFD" w:rsidRPr="00D3332C">
        <w:rPr>
          <w:rFonts w:ascii="Times New Roman" w:hAnsi="Times New Roman" w:cs="Times New Roman"/>
          <w:sz w:val="24"/>
          <w:szCs w:val="24"/>
        </w:rPr>
        <w:t>. W 20</w:t>
      </w:r>
      <w:r w:rsidR="00BA1D57" w:rsidRPr="00D3332C">
        <w:rPr>
          <w:rFonts w:ascii="Times New Roman" w:hAnsi="Times New Roman" w:cs="Times New Roman"/>
          <w:sz w:val="24"/>
          <w:szCs w:val="24"/>
        </w:rPr>
        <w:t>20</w:t>
      </w:r>
      <w:r w:rsidR="00F17EFD" w:rsidRPr="00D3332C">
        <w:rPr>
          <w:rFonts w:ascii="Times New Roman" w:hAnsi="Times New Roman" w:cs="Times New Roman"/>
          <w:sz w:val="24"/>
          <w:szCs w:val="24"/>
        </w:rPr>
        <w:t xml:space="preserve"> r. odbyło się 12 posiedzeń KZR. Celem KZR jest zapewnienie niezależności opinii w zakresie oceny efektów zarządzania ryzykiem w Banku.</w:t>
      </w:r>
    </w:p>
    <w:p w14:paraId="1608ABD3" w14:textId="77777777" w:rsidR="000D62A5" w:rsidRPr="005D35E1" w:rsidRDefault="000D62A5" w:rsidP="00110425">
      <w:pPr>
        <w:pStyle w:val="Akapitzlist"/>
        <w:spacing w:after="0" w:line="240" w:lineRule="auto"/>
        <w:ind w:left="0"/>
        <w:jc w:val="both"/>
        <w:rPr>
          <w:rFonts w:ascii="Times New Roman" w:hAnsi="Times New Roman" w:cs="Times New Roman"/>
          <w:sz w:val="24"/>
          <w:szCs w:val="24"/>
        </w:rPr>
      </w:pPr>
    </w:p>
    <w:p w14:paraId="65B47240" w14:textId="77777777" w:rsidR="003F660E" w:rsidRPr="005D35E1" w:rsidRDefault="00347851" w:rsidP="00925D6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5D35E1">
        <w:rPr>
          <w:rFonts w:ascii="Times New Roman" w:hAnsi="Times New Roman" w:cs="Times New Roman"/>
          <w:b/>
          <w:sz w:val="24"/>
          <w:szCs w:val="24"/>
        </w:rPr>
        <w:t>System przepływu informacji</w:t>
      </w:r>
      <w:r w:rsidR="00F975BC" w:rsidRPr="005D35E1">
        <w:rPr>
          <w:rFonts w:ascii="Times New Roman" w:hAnsi="Times New Roman" w:cs="Times New Roman"/>
          <w:b/>
          <w:sz w:val="24"/>
          <w:szCs w:val="24"/>
        </w:rPr>
        <w:t xml:space="preserve"> w zakresie ryzyka stosowany w B</w:t>
      </w:r>
      <w:r w:rsidRPr="005D35E1">
        <w:rPr>
          <w:rFonts w:ascii="Times New Roman" w:hAnsi="Times New Roman" w:cs="Times New Roman"/>
          <w:b/>
          <w:sz w:val="24"/>
          <w:szCs w:val="24"/>
        </w:rPr>
        <w:t>anku</w:t>
      </w:r>
    </w:p>
    <w:p w14:paraId="568FEEB8" w14:textId="77777777" w:rsidR="00347851" w:rsidRPr="005D35E1" w:rsidRDefault="00347851" w:rsidP="00925D65">
      <w:pPr>
        <w:spacing w:after="0" w:line="240" w:lineRule="auto"/>
        <w:jc w:val="both"/>
        <w:rPr>
          <w:rFonts w:ascii="Times New Roman" w:hAnsi="Times New Roman" w:cs="Times New Roman"/>
          <w:sz w:val="24"/>
          <w:szCs w:val="24"/>
        </w:rPr>
      </w:pPr>
    </w:p>
    <w:p w14:paraId="6AC5F124" w14:textId="77777777" w:rsidR="00A01A65" w:rsidRPr="005D35E1" w:rsidRDefault="00A01A65" w:rsidP="00925D65">
      <w:pPr>
        <w:spacing w:after="0" w:line="240" w:lineRule="auto"/>
        <w:jc w:val="both"/>
        <w:rPr>
          <w:rFonts w:ascii="Times New Roman" w:hAnsi="Times New Roman" w:cs="Times New Roman"/>
          <w:sz w:val="24"/>
          <w:szCs w:val="24"/>
        </w:rPr>
      </w:pPr>
      <w:r w:rsidRPr="005D35E1">
        <w:rPr>
          <w:rFonts w:ascii="Times New Roman" w:hAnsi="Times New Roman" w:cs="Times New Roman"/>
          <w:sz w:val="24"/>
          <w:szCs w:val="24"/>
        </w:rPr>
        <w:t>System przepływu informacji w zakresie ryzyka dotyczy głównie istotnych rodzajów ryzyka i odbywa się zgodnie z wewnętrzną procedurą Banku.</w:t>
      </w:r>
    </w:p>
    <w:p w14:paraId="46C0EC49" w14:textId="77777777" w:rsidR="00A01A65" w:rsidRPr="000F3724" w:rsidRDefault="00A01A65" w:rsidP="00925D65">
      <w:pPr>
        <w:spacing w:after="0" w:line="240" w:lineRule="auto"/>
        <w:jc w:val="both"/>
        <w:rPr>
          <w:rFonts w:ascii="Times New Roman" w:hAnsi="Times New Roman" w:cs="Times New Roman"/>
          <w:sz w:val="24"/>
          <w:szCs w:val="24"/>
        </w:rPr>
      </w:pPr>
      <w:r w:rsidRPr="000F3724">
        <w:rPr>
          <w:rFonts w:ascii="Times New Roman" w:hAnsi="Times New Roman" w:cs="Times New Roman"/>
          <w:sz w:val="24"/>
          <w:szCs w:val="24"/>
        </w:rPr>
        <w:t>W ramach informacji zarządczej z obszaru każd</w:t>
      </w:r>
      <w:r w:rsidR="00EB2A16" w:rsidRPr="000F3724">
        <w:rPr>
          <w:rFonts w:ascii="Times New Roman" w:hAnsi="Times New Roman" w:cs="Times New Roman"/>
          <w:sz w:val="24"/>
          <w:szCs w:val="24"/>
        </w:rPr>
        <w:t>ego</w:t>
      </w:r>
      <w:r w:rsidRPr="000F3724">
        <w:rPr>
          <w:rFonts w:ascii="Times New Roman" w:hAnsi="Times New Roman" w:cs="Times New Roman"/>
          <w:sz w:val="24"/>
          <w:szCs w:val="24"/>
        </w:rPr>
        <w:t xml:space="preserve"> ryzyka sprawozdawane są:</w:t>
      </w:r>
    </w:p>
    <w:p w14:paraId="7235903F" w14:textId="77777777" w:rsidR="00A01A65" w:rsidRPr="000F3724" w:rsidRDefault="00B83FA4" w:rsidP="000C62C3">
      <w:pPr>
        <w:pStyle w:val="Akapitzlist"/>
        <w:numPr>
          <w:ilvl w:val="0"/>
          <w:numId w:val="6"/>
        </w:numPr>
        <w:spacing w:after="0" w:line="240" w:lineRule="auto"/>
        <w:jc w:val="both"/>
        <w:rPr>
          <w:rFonts w:ascii="Times New Roman" w:hAnsi="Times New Roman" w:cs="Times New Roman"/>
          <w:sz w:val="24"/>
          <w:szCs w:val="24"/>
        </w:rPr>
      </w:pPr>
      <w:r w:rsidRPr="000F3724">
        <w:rPr>
          <w:rFonts w:ascii="Times New Roman" w:hAnsi="Times New Roman" w:cs="Times New Roman"/>
          <w:sz w:val="24"/>
          <w:szCs w:val="24"/>
        </w:rPr>
        <w:t>wyniki pomiaru ryzyka</w:t>
      </w:r>
      <w:r w:rsidR="00A01A65" w:rsidRPr="000F3724">
        <w:rPr>
          <w:rFonts w:ascii="Times New Roman" w:hAnsi="Times New Roman" w:cs="Times New Roman"/>
          <w:sz w:val="24"/>
          <w:szCs w:val="24"/>
        </w:rPr>
        <w:t>, w tym wyniki testów warunków skrajnych,</w:t>
      </w:r>
    </w:p>
    <w:p w14:paraId="0BEBB807" w14:textId="77777777" w:rsidR="00A01A65" w:rsidRPr="000F3724" w:rsidRDefault="00A01A65" w:rsidP="000C62C3">
      <w:pPr>
        <w:pStyle w:val="Akapitzlist"/>
        <w:numPr>
          <w:ilvl w:val="0"/>
          <w:numId w:val="6"/>
        </w:numPr>
        <w:spacing w:after="0" w:line="240" w:lineRule="auto"/>
        <w:jc w:val="both"/>
        <w:rPr>
          <w:rFonts w:ascii="Times New Roman" w:hAnsi="Times New Roman" w:cs="Times New Roman"/>
          <w:sz w:val="24"/>
          <w:szCs w:val="24"/>
        </w:rPr>
      </w:pPr>
      <w:r w:rsidRPr="000F3724">
        <w:rPr>
          <w:rFonts w:ascii="Times New Roman" w:hAnsi="Times New Roman" w:cs="Times New Roman"/>
          <w:sz w:val="24"/>
          <w:szCs w:val="24"/>
        </w:rPr>
        <w:t>informacja o realizacji przyjętych w Banku</w:t>
      </w:r>
      <w:r w:rsidR="009439ED" w:rsidRPr="000F3724">
        <w:rPr>
          <w:rFonts w:ascii="Times New Roman" w:hAnsi="Times New Roman" w:cs="Times New Roman"/>
          <w:sz w:val="24"/>
          <w:szCs w:val="24"/>
        </w:rPr>
        <w:t xml:space="preserve"> celów strategicznych (tolerancji / apetytu na ryzyko) oraz pozostałych</w:t>
      </w:r>
      <w:r w:rsidRPr="000F3724">
        <w:rPr>
          <w:rFonts w:ascii="Times New Roman" w:hAnsi="Times New Roman" w:cs="Times New Roman"/>
          <w:sz w:val="24"/>
          <w:szCs w:val="24"/>
        </w:rPr>
        <w:t xml:space="preserve"> limitów,</w:t>
      </w:r>
    </w:p>
    <w:p w14:paraId="6CFF90D3" w14:textId="77777777" w:rsidR="00B83FA4" w:rsidRPr="000F3724" w:rsidRDefault="00B83FA4" w:rsidP="000C62C3">
      <w:pPr>
        <w:pStyle w:val="Akapitzlist"/>
        <w:numPr>
          <w:ilvl w:val="0"/>
          <w:numId w:val="6"/>
        </w:numPr>
        <w:spacing w:after="0" w:line="240" w:lineRule="auto"/>
        <w:jc w:val="both"/>
        <w:rPr>
          <w:rFonts w:ascii="Times New Roman" w:hAnsi="Times New Roman" w:cs="Times New Roman"/>
          <w:sz w:val="24"/>
          <w:szCs w:val="24"/>
        </w:rPr>
      </w:pPr>
      <w:r w:rsidRPr="000F3724">
        <w:rPr>
          <w:rFonts w:ascii="Times New Roman" w:hAnsi="Times New Roman" w:cs="Times New Roman"/>
          <w:sz w:val="24"/>
          <w:szCs w:val="24"/>
        </w:rPr>
        <w:t>wyniki kontroli zewnętrznych i wewnętrznych,</w:t>
      </w:r>
    </w:p>
    <w:p w14:paraId="2363D5E8" w14:textId="77777777" w:rsidR="00A01A65" w:rsidRPr="000F3724" w:rsidRDefault="00A01A65" w:rsidP="000C62C3">
      <w:pPr>
        <w:pStyle w:val="Akapitzlist"/>
        <w:numPr>
          <w:ilvl w:val="0"/>
          <w:numId w:val="6"/>
        </w:numPr>
        <w:spacing w:after="0" w:line="240" w:lineRule="auto"/>
        <w:jc w:val="both"/>
        <w:rPr>
          <w:rFonts w:ascii="Times New Roman" w:hAnsi="Times New Roman" w:cs="Times New Roman"/>
          <w:sz w:val="24"/>
          <w:szCs w:val="24"/>
        </w:rPr>
      </w:pPr>
      <w:r w:rsidRPr="000F3724">
        <w:rPr>
          <w:rFonts w:ascii="Times New Roman" w:hAnsi="Times New Roman" w:cs="Times New Roman"/>
          <w:sz w:val="24"/>
          <w:szCs w:val="24"/>
        </w:rPr>
        <w:t>wnioski dla Zarządu i Rady Nadzorczej.</w:t>
      </w:r>
    </w:p>
    <w:p w14:paraId="4811E472" w14:textId="77777777" w:rsidR="00925D65" w:rsidRPr="000F3724" w:rsidRDefault="00925D65" w:rsidP="00925D65">
      <w:pPr>
        <w:spacing w:after="0" w:line="240" w:lineRule="auto"/>
        <w:jc w:val="both"/>
        <w:rPr>
          <w:rFonts w:ascii="Times New Roman" w:hAnsi="Times New Roman" w:cs="Times New Roman"/>
          <w:sz w:val="24"/>
          <w:szCs w:val="24"/>
        </w:rPr>
      </w:pPr>
    </w:p>
    <w:p w14:paraId="7175C7F9" w14:textId="77777777" w:rsidR="008B7782" w:rsidRPr="000F3724" w:rsidRDefault="008B7782" w:rsidP="008B7782">
      <w:pPr>
        <w:spacing w:after="0" w:line="240" w:lineRule="auto"/>
        <w:jc w:val="both"/>
        <w:rPr>
          <w:rFonts w:ascii="Times New Roman" w:hAnsi="Times New Roman"/>
          <w:sz w:val="24"/>
          <w:szCs w:val="24"/>
        </w:rPr>
      </w:pPr>
      <w:r w:rsidRPr="000F3724">
        <w:rPr>
          <w:rFonts w:ascii="Times New Roman" w:hAnsi="Times New Roman"/>
          <w:sz w:val="24"/>
          <w:szCs w:val="24"/>
        </w:rPr>
        <w:t xml:space="preserve">Raporty z zakresu </w:t>
      </w:r>
      <w:r w:rsidR="002B3271" w:rsidRPr="000F3724">
        <w:rPr>
          <w:rFonts w:ascii="Times New Roman" w:hAnsi="Times New Roman"/>
          <w:sz w:val="24"/>
          <w:szCs w:val="24"/>
        </w:rPr>
        <w:t xml:space="preserve">poszczególnych rodzajów </w:t>
      </w:r>
      <w:r w:rsidRPr="000F3724">
        <w:rPr>
          <w:rFonts w:ascii="Times New Roman" w:hAnsi="Times New Roman"/>
          <w:sz w:val="24"/>
          <w:szCs w:val="24"/>
        </w:rPr>
        <w:t xml:space="preserve">ryzyka pozwalają Zarządowi i Radzie Nadzorczej na m.in.: </w:t>
      </w:r>
    </w:p>
    <w:p w14:paraId="4E857E23" w14:textId="77777777" w:rsidR="008B7782" w:rsidRPr="000F3724" w:rsidRDefault="008B7782" w:rsidP="000C62C3">
      <w:pPr>
        <w:pStyle w:val="Akapitzlist"/>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0F3724">
        <w:rPr>
          <w:rFonts w:ascii="Times New Roman" w:hAnsi="Times New Roman"/>
          <w:sz w:val="24"/>
          <w:szCs w:val="24"/>
        </w:rPr>
        <w:t>monitorowanie poziomu ryzyka, w tym przyjętych limitów;</w:t>
      </w:r>
    </w:p>
    <w:p w14:paraId="7244E718" w14:textId="77777777" w:rsidR="008B7782" w:rsidRPr="000F3724" w:rsidRDefault="008B7782" w:rsidP="000C62C3">
      <w:pPr>
        <w:pStyle w:val="Akapitzlist"/>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0F3724">
        <w:rPr>
          <w:rFonts w:ascii="Times New Roman" w:hAnsi="Times New Roman"/>
          <w:sz w:val="24"/>
          <w:szCs w:val="24"/>
        </w:rPr>
        <w:t>kontrolę realizacji celów strategicznych;</w:t>
      </w:r>
    </w:p>
    <w:p w14:paraId="58627083" w14:textId="77777777" w:rsidR="008B7782" w:rsidRPr="000F3724" w:rsidRDefault="008B7782" w:rsidP="000C62C3">
      <w:pPr>
        <w:pStyle w:val="Akapitzlist"/>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0F3724">
        <w:rPr>
          <w:rFonts w:ascii="Times New Roman" w:hAnsi="Times New Roman"/>
          <w:sz w:val="24"/>
          <w:szCs w:val="24"/>
        </w:rPr>
        <w:t>ocenę skutków podejmowanych decyzji;</w:t>
      </w:r>
    </w:p>
    <w:p w14:paraId="538347E7" w14:textId="77777777" w:rsidR="00B83FA4" w:rsidRPr="000F3724" w:rsidRDefault="008B7782" w:rsidP="000C62C3">
      <w:pPr>
        <w:pStyle w:val="Akapitzlist"/>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0F3724">
        <w:rPr>
          <w:rFonts w:ascii="Times New Roman" w:hAnsi="Times New Roman"/>
          <w:sz w:val="24"/>
          <w:szCs w:val="24"/>
        </w:rPr>
        <w:lastRenderedPageBreak/>
        <w:t>podejmowanie odpowiednich działań w celu ograniczania ryzyka</w:t>
      </w:r>
      <w:r w:rsidR="00B83FA4" w:rsidRPr="000F3724">
        <w:rPr>
          <w:rFonts w:ascii="Times New Roman" w:hAnsi="Times New Roman"/>
          <w:sz w:val="24"/>
          <w:szCs w:val="24"/>
        </w:rPr>
        <w:t>,</w:t>
      </w:r>
    </w:p>
    <w:p w14:paraId="6E6A3B7D" w14:textId="77777777" w:rsidR="008B7782" w:rsidRPr="000F3724" w:rsidRDefault="00B83FA4" w:rsidP="000C62C3">
      <w:pPr>
        <w:pStyle w:val="Akapitzlist"/>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0F3724">
        <w:rPr>
          <w:rFonts w:ascii="Times New Roman" w:hAnsi="Times New Roman"/>
          <w:sz w:val="24"/>
          <w:szCs w:val="24"/>
        </w:rPr>
        <w:t>ocenę skuteczności i adekwatności zarządzania ryzykiem</w:t>
      </w:r>
      <w:r w:rsidR="008B7782" w:rsidRPr="000F3724">
        <w:rPr>
          <w:rFonts w:ascii="Times New Roman" w:hAnsi="Times New Roman"/>
          <w:sz w:val="24"/>
          <w:szCs w:val="24"/>
        </w:rPr>
        <w:t>.</w:t>
      </w:r>
    </w:p>
    <w:p w14:paraId="7C790AB1" w14:textId="77777777" w:rsidR="008B7782" w:rsidRPr="000F3724" w:rsidRDefault="008B7782" w:rsidP="008B7782">
      <w:pPr>
        <w:spacing w:after="0" w:line="240" w:lineRule="auto"/>
        <w:jc w:val="both"/>
        <w:rPr>
          <w:rFonts w:ascii="Times New Roman" w:hAnsi="Times New Roman"/>
          <w:sz w:val="24"/>
          <w:szCs w:val="24"/>
        </w:rPr>
      </w:pPr>
    </w:p>
    <w:p w14:paraId="4A9C11E0" w14:textId="77777777" w:rsidR="008B7782" w:rsidRPr="000F3724" w:rsidRDefault="008B7782" w:rsidP="008B7782">
      <w:pPr>
        <w:spacing w:after="0" w:line="240" w:lineRule="auto"/>
        <w:jc w:val="both"/>
        <w:rPr>
          <w:rFonts w:ascii="Times New Roman" w:hAnsi="Times New Roman"/>
          <w:sz w:val="24"/>
          <w:szCs w:val="24"/>
        </w:rPr>
      </w:pPr>
      <w:r w:rsidRPr="000F3724">
        <w:rPr>
          <w:rFonts w:ascii="Times New Roman" w:hAnsi="Times New Roman"/>
          <w:sz w:val="24"/>
          <w:szCs w:val="24"/>
        </w:rPr>
        <w:t xml:space="preserve">Co do zasady raporty </w:t>
      </w:r>
      <w:r w:rsidR="002B3271" w:rsidRPr="000F3724">
        <w:rPr>
          <w:rFonts w:ascii="Times New Roman" w:hAnsi="Times New Roman"/>
          <w:sz w:val="24"/>
          <w:szCs w:val="24"/>
        </w:rPr>
        <w:t xml:space="preserve">dotyczące poszczególnych rodzajów </w:t>
      </w:r>
      <w:r w:rsidRPr="000F3724">
        <w:rPr>
          <w:rFonts w:ascii="Times New Roman" w:hAnsi="Times New Roman"/>
          <w:sz w:val="24"/>
          <w:szCs w:val="24"/>
        </w:rPr>
        <w:t>ryzyka dla Zarządu sporządzane są z częstotliwością przynajmniej miesięczną, a dla Rady Nadzorczej z częstotliwością przynajmniej kwartalną.</w:t>
      </w:r>
    </w:p>
    <w:p w14:paraId="606695AA" w14:textId="77777777" w:rsidR="00925D65" w:rsidRPr="000F3724" w:rsidRDefault="00925D65" w:rsidP="00925D65">
      <w:pPr>
        <w:spacing w:after="0" w:line="240" w:lineRule="auto"/>
        <w:jc w:val="both"/>
        <w:rPr>
          <w:rFonts w:ascii="Times New Roman" w:hAnsi="Times New Roman" w:cs="Times New Roman"/>
          <w:sz w:val="24"/>
          <w:szCs w:val="24"/>
        </w:rPr>
      </w:pPr>
    </w:p>
    <w:p w14:paraId="5A888C0C" w14:textId="77777777" w:rsidR="00487041" w:rsidRPr="000F3724" w:rsidRDefault="00487041"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Times New Roman" w:hAnsi="Times New Roman" w:cs="Times New Roman"/>
          <w:b/>
          <w:sz w:val="24"/>
          <w:szCs w:val="24"/>
        </w:rPr>
      </w:pPr>
      <w:r w:rsidRPr="000F3724">
        <w:rPr>
          <w:rFonts w:ascii="Times New Roman" w:hAnsi="Times New Roman" w:cs="Times New Roman"/>
          <w:b/>
          <w:sz w:val="24"/>
          <w:szCs w:val="24"/>
        </w:rPr>
        <w:t>Fundusze własne</w:t>
      </w:r>
    </w:p>
    <w:p w14:paraId="43719AC6" w14:textId="77777777" w:rsidR="00F337EA" w:rsidRPr="000F3724" w:rsidRDefault="00F337EA" w:rsidP="00F337EA">
      <w:pPr>
        <w:spacing w:after="0" w:line="240" w:lineRule="auto"/>
        <w:jc w:val="both"/>
        <w:rPr>
          <w:rFonts w:ascii="Times New Roman" w:hAnsi="Times New Roman" w:cs="Times New Roman"/>
          <w:sz w:val="24"/>
          <w:szCs w:val="24"/>
        </w:rPr>
      </w:pPr>
    </w:p>
    <w:p w14:paraId="784B85C7" w14:textId="77777777" w:rsidR="00970057" w:rsidRPr="000F3724" w:rsidRDefault="002F5A4D" w:rsidP="00607ED4">
      <w:pPr>
        <w:pStyle w:val="Akapitzlist"/>
        <w:numPr>
          <w:ilvl w:val="6"/>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426"/>
        </w:tabs>
        <w:spacing w:after="0" w:line="240" w:lineRule="auto"/>
        <w:ind w:left="426" w:hanging="426"/>
        <w:jc w:val="both"/>
        <w:rPr>
          <w:rFonts w:ascii="Times New Roman" w:hAnsi="Times New Roman" w:cs="Times New Roman"/>
          <w:b/>
          <w:sz w:val="24"/>
          <w:szCs w:val="24"/>
        </w:rPr>
      </w:pPr>
      <w:r w:rsidRPr="000F3724">
        <w:rPr>
          <w:rFonts w:ascii="Times New Roman" w:hAnsi="Times New Roman" w:cs="Times New Roman"/>
          <w:b/>
          <w:sz w:val="24"/>
          <w:szCs w:val="24"/>
        </w:rPr>
        <w:t>Budowa</w:t>
      </w:r>
      <w:r w:rsidR="002007C4" w:rsidRPr="000F3724">
        <w:rPr>
          <w:rFonts w:ascii="Times New Roman" w:hAnsi="Times New Roman" w:cs="Times New Roman"/>
          <w:b/>
          <w:sz w:val="24"/>
          <w:szCs w:val="24"/>
        </w:rPr>
        <w:t xml:space="preserve"> funduszy włas</w:t>
      </w:r>
      <w:r w:rsidR="00981890" w:rsidRPr="000F3724">
        <w:rPr>
          <w:rFonts w:ascii="Times New Roman" w:hAnsi="Times New Roman" w:cs="Times New Roman"/>
          <w:b/>
          <w:sz w:val="24"/>
          <w:szCs w:val="24"/>
        </w:rPr>
        <w:t>nych</w:t>
      </w:r>
    </w:p>
    <w:p w14:paraId="04581A0F" w14:textId="77777777" w:rsidR="00A57447" w:rsidRPr="0003509A" w:rsidRDefault="00A57447" w:rsidP="00970057">
      <w:pPr>
        <w:pStyle w:val="Akapitzlist"/>
        <w:spacing w:after="0" w:line="240" w:lineRule="auto"/>
        <w:ind w:left="426"/>
        <w:jc w:val="both"/>
        <w:rPr>
          <w:rFonts w:ascii="Times New Roman" w:hAnsi="Times New Roman" w:cs="Times New Roman"/>
          <w:sz w:val="24"/>
          <w:szCs w:val="24"/>
        </w:rPr>
      </w:pPr>
    </w:p>
    <w:tbl>
      <w:tblPr>
        <w:tblStyle w:val="Jasnasiatka1"/>
        <w:tblW w:w="5000" w:type="pct"/>
        <w:tblLook w:val="04A0" w:firstRow="1" w:lastRow="0" w:firstColumn="1" w:lastColumn="0" w:noHBand="0" w:noVBand="1"/>
      </w:tblPr>
      <w:tblGrid>
        <w:gridCol w:w="778"/>
        <w:gridCol w:w="5446"/>
        <w:gridCol w:w="2828"/>
      </w:tblGrid>
      <w:tr w:rsidR="0003509A" w:rsidRPr="0003509A" w14:paraId="7A13B217" w14:textId="77777777" w:rsidTr="00B85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2EC612E" w14:textId="77777777" w:rsidR="00C9064F" w:rsidRPr="0003509A" w:rsidRDefault="00C9064F" w:rsidP="00B859E6">
            <w:pPr>
              <w:jc w:val="center"/>
              <w:rPr>
                <w:rFonts w:ascii="Times New Roman" w:hAnsi="Times New Roman" w:cs="Times New Roman"/>
                <w:sz w:val="18"/>
                <w:szCs w:val="18"/>
              </w:rPr>
            </w:pPr>
            <w:r w:rsidRPr="0003509A">
              <w:rPr>
                <w:rFonts w:ascii="Times New Roman" w:hAnsi="Times New Roman" w:cs="Times New Roman"/>
                <w:sz w:val="18"/>
                <w:szCs w:val="18"/>
              </w:rPr>
              <w:t>Lp*</w:t>
            </w:r>
          </w:p>
        </w:tc>
        <w:tc>
          <w:tcPr>
            <w:tcW w:w="3008" w:type="pct"/>
          </w:tcPr>
          <w:p w14:paraId="0158F03D" w14:textId="77777777" w:rsidR="00C9064F" w:rsidRPr="0003509A" w:rsidRDefault="00C9064F" w:rsidP="00B85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Pozycja</w:t>
            </w:r>
          </w:p>
        </w:tc>
        <w:tc>
          <w:tcPr>
            <w:tcW w:w="1562" w:type="pct"/>
          </w:tcPr>
          <w:p w14:paraId="4C05156C" w14:textId="77777777" w:rsidR="00C9064F" w:rsidRPr="0003509A" w:rsidRDefault="00C9064F" w:rsidP="00B859E6">
            <w:pPr>
              <w:ind w:right="-21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w:t>
            </w:r>
          </w:p>
        </w:tc>
      </w:tr>
      <w:tr w:rsidR="0003509A" w:rsidRPr="0003509A" w14:paraId="6212947F"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0A40A33"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1</w:t>
            </w:r>
          </w:p>
        </w:tc>
        <w:tc>
          <w:tcPr>
            <w:tcW w:w="3008" w:type="pct"/>
          </w:tcPr>
          <w:p w14:paraId="10282B76"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Instrumenty kapitałowe i powiązane ażio emisyjne</w:t>
            </w:r>
          </w:p>
        </w:tc>
        <w:tc>
          <w:tcPr>
            <w:tcW w:w="1562" w:type="pct"/>
          </w:tcPr>
          <w:p w14:paraId="7017F4AD" w14:textId="1BC00F7D" w:rsidR="00C9064F" w:rsidRPr="0003509A" w:rsidRDefault="00913C88"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E2BF87D"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DD7AB8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w:t>
            </w:r>
          </w:p>
        </w:tc>
        <w:tc>
          <w:tcPr>
            <w:tcW w:w="3008" w:type="pct"/>
          </w:tcPr>
          <w:p w14:paraId="55DBEFEC"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Zyski zatrzymane</w:t>
            </w:r>
          </w:p>
        </w:tc>
        <w:tc>
          <w:tcPr>
            <w:tcW w:w="1562" w:type="pct"/>
          </w:tcPr>
          <w:p w14:paraId="71900C12" w14:textId="7FA3FE19" w:rsidR="00C9064F" w:rsidRPr="0003509A" w:rsidRDefault="00913C88"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78F98DB3"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7E8A741"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3</w:t>
            </w:r>
          </w:p>
        </w:tc>
        <w:tc>
          <w:tcPr>
            <w:tcW w:w="3008" w:type="pct"/>
          </w:tcPr>
          <w:p w14:paraId="73654C44"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Skumulowane inne całkowite dochody (i pozostałe kapitały rezerwowe)</w:t>
            </w:r>
          </w:p>
        </w:tc>
        <w:tc>
          <w:tcPr>
            <w:tcW w:w="1562" w:type="pct"/>
          </w:tcPr>
          <w:p w14:paraId="102BBCE0" w14:textId="5100F129" w:rsidR="00C9064F" w:rsidRPr="0003509A" w:rsidRDefault="0001438A"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9 547,00</w:t>
            </w:r>
          </w:p>
        </w:tc>
      </w:tr>
      <w:tr w:rsidR="0003509A" w:rsidRPr="0003509A" w14:paraId="2F37F12E"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8BE124D"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3a</w:t>
            </w:r>
          </w:p>
        </w:tc>
        <w:tc>
          <w:tcPr>
            <w:tcW w:w="3008" w:type="pct"/>
          </w:tcPr>
          <w:p w14:paraId="4ED0DAA1"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 xml:space="preserve">Fundusze ogólne ryzyka bankowego </w:t>
            </w:r>
          </w:p>
        </w:tc>
        <w:tc>
          <w:tcPr>
            <w:tcW w:w="1562" w:type="pct"/>
          </w:tcPr>
          <w:p w14:paraId="3D603758" w14:textId="5CA44605" w:rsidR="00C9064F" w:rsidRPr="0003509A" w:rsidRDefault="0001438A"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5</w:t>
            </w:r>
            <w:r w:rsidR="00913C88" w:rsidRPr="0003509A">
              <w:rPr>
                <w:rFonts w:ascii="Times New Roman" w:eastAsia="Times New Roman" w:hAnsi="Times New Roman" w:cs="Times New Roman"/>
                <w:iCs/>
                <w:lang w:eastAsia="pl-PL"/>
              </w:rPr>
              <w:t>70,00</w:t>
            </w:r>
          </w:p>
        </w:tc>
      </w:tr>
      <w:tr w:rsidR="0003509A" w:rsidRPr="0003509A" w14:paraId="57C31A04"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02C2CC2"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w:t>
            </w:r>
          </w:p>
        </w:tc>
        <w:tc>
          <w:tcPr>
            <w:tcW w:w="3008" w:type="pct"/>
          </w:tcPr>
          <w:p w14:paraId="09BDC70D"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kwalifikujących się pozycji o których mowa w art. 484 ust. 3 i powiązane ażio emisyjne przeznaczone do wycofania z kapitału podstawowego Tier I</w:t>
            </w:r>
          </w:p>
        </w:tc>
        <w:tc>
          <w:tcPr>
            <w:tcW w:w="1562" w:type="pct"/>
          </w:tcPr>
          <w:p w14:paraId="5089F685" w14:textId="3BAD8566" w:rsidR="00C9064F" w:rsidRPr="0003509A" w:rsidRDefault="00913C88"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102,00</w:t>
            </w:r>
          </w:p>
        </w:tc>
      </w:tr>
      <w:tr w:rsidR="0003509A" w:rsidRPr="0003509A" w14:paraId="323B2373"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2C9F327"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5a</w:t>
            </w:r>
          </w:p>
        </w:tc>
        <w:tc>
          <w:tcPr>
            <w:tcW w:w="3008" w:type="pct"/>
          </w:tcPr>
          <w:p w14:paraId="488207FE"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Niezależnie zweryfikowane zyski z bieżącego okresu po odliczeniu wszelkich możliwych do przewidzenia obciążeń i dywidend</w:t>
            </w:r>
          </w:p>
        </w:tc>
        <w:tc>
          <w:tcPr>
            <w:tcW w:w="1562" w:type="pct"/>
          </w:tcPr>
          <w:p w14:paraId="3F79799C" w14:textId="5C484E75" w:rsidR="00C9064F" w:rsidRPr="0003509A" w:rsidRDefault="00913C88"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p>
        </w:tc>
      </w:tr>
      <w:tr w:rsidR="0003509A" w:rsidRPr="0003509A" w14:paraId="417C5B3D"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1CBBB1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w:t>
            </w:r>
          </w:p>
        </w:tc>
        <w:tc>
          <w:tcPr>
            <w:tcW w:w="3008" w:type="pct"/>
          </w:tcPr>
          <w:p w14:paraId="1FD4F956"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podstawowy Tier I przed korektami regulacyjnymi</w:t>
            </w:r>
          </w:p>
        </w:tc>
        <w:tc>
          <w:tcPr>
            <w:tcW w:w="1562" w:type="pct"/>
          </w:tcPr>
          <w:p w14:paraId="486E1083" w14:textId="171F34B0" w:rsidR="00C9064F" w:rsidRPr="0003509A" w:rsidRDefault="0001438A"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b/>
                <w:iCs/>
                <w:lang w:eastAsia="pl-PL"/>
              </w:rPr>
              <w:t>10 219</w:t>
            </w:r>
          </w:p>
        </w:tc>
      </w:tr>
      <w:tr w:rsidR="0003509A" w:rsidRPr="0003509A" w14:paraId="0478A85D"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AC51158"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w:t>
            </w:r>
          </w:p>
        </w:tc>
        <w:tc>
          <w:tcPr>
            <w:tcW w:w="3008" w:type="pct"/>
          </w:tcPr>
          <w:p w14:paraId="5537432C"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Dodatkowe korekty wartości (kwota ujemna)</w:t>
            </w:r>
          </w:p>
        </w:tc>
        <w:tc>
          <w:tcPr>
            <w:tcW w:w="1562" w:type="pct"/>
          </w:tcPr>
          <w:p w14:paraId="4418BF88" w14:textId="55A4B6CE" w:rsidR="00C9064F" w:rsidRPr="0003509A" w:rsidRDefault="00913C88"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p>
        </w:tc>
      </w:tr>
      <w:tr w:rsidR="0003509A" w:rsidRPr="0003509A" w14:paraId="1CAA6BF3"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3DFB71A"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7a</w:t>
            </w:r>
          </w:p>
        </w:tc>
        <w:tc>
          <w:tcPr>
            <w:tcW w:w="3008" w:type="pct"/>
          </w:tcPr>
          <w:p w14:paraId="58802694"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Dodatkowe odliczenie z tytułu rezerw</w:t>
            </w:r>
          </w:p>
        </w:tc>
        <w:tc>
          <w:tcPr>
            <w:tcW w:w="1562" w:type="pct"/>
          </w:tcPr>
          <w:p w14:paraId="4754D634" w14:textId="0AA504FB" w:rsidR="00C9064F" w:rsidRPr="0003509A" w:rsidRDefault="00913C88"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sz w:val="20"/>
                <w:szCs w:val="20"/>
                <w:lang w:eastAsia="pl-PL"/>
              </w:rPr>
              <w:t>-</w:t>
            </w:r>
          </w:p>
        </w:tc>
      </w:tr>
      <w:tr w:rsidR="0003509A" w:rsidRPr="0003509A" w14:paraId="014FA0D5"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0FC01B3"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w:t>
            </w:r>
          </w:p>
        </w:tc>
        <w:tc>
          <w:tcPr>
            <w:tcW w:w="3008" w:type="pct"/>
          </w:tcPr>
          <w:p w14:paraId="6EDA013F"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Wartości niematerialne i prawne (po odliczeniu powiązanej rezerwy z tytułu odroczonego podatku dochodowego) (kwota ujemna)</w:t>
            </w:r>
          </w:p>
        </w:tc>
        <w:tc>
          <w:tcPr>
            <w:tcW w:w="1562" w:type="pct"/>
          </w:tcPr>
          <w:p w14:paraId="3C6ECA31" w14:textId="0F7BFF24" w:rsidR="00C9064F" w:rsidRPr="0003509A" w:rsidRDefault="00913C88"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r w:rsidR="0001438A" w:rsidRPr="0003509A">
              <w:rPr>
                <w:rFonts w:ascii="Times New Roman" w:eastAsia="Times New Roman" w:hAnsi="Times New Roman" w:cs="Times New Roman"/>
                <w:iCs/>
                <w:lang w:eastAsia="pl-PL"/>
              </w:rPr>
              <w:t>65,00</w:t>
            </w:r>
          </w:p>
        </w:tc>
      </w:tr>
      <w:tr w:rsidR="0003509A" w:rsidRPr="0003509A" w14:paraId="6D7EB0BE"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6D9B57D"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17</w:t>
            </w:r>
          </w:p>
        </w:tc>
        <w:tc>
          <w:tcPr>
            <w:tcW w:w="3008" w:type="pct"/>
          </w:tcPr>
          <w:p w14:paraId="49145966"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Bezpośrednie, pośrednie i syntetyczne udziały kapitałowe w instrumentach w kapitale podstawowym Tier I podmiotów sektora finansowego, jeżeli podmioty te mają z instytucją krzyżowe powiązania kapitałowe mające na celu sztuczne zawyżanie funduszy własnych instytucji (kwota ujemna)</w:t>
            </w:r>
          </w:p>
        </w:tc>
        <w:tc>
          <w:tcPr>
            <w:tcW w:w="1562" w:type="pct"/>
          </w:tcPr>
          <w:p w14:paraId="2CB66CF5" w14:textId="1D381F3D" w:rsidR="00C9064F" w:rsidRPr="0003509A" w:rsidRDefault="00913C88"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08EF61B6"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04F5CA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18</w:t>
            </w:r>
          </w:p>
        </w:tc>
        <w:tc>
          <w:tcPr>
            <w:tcW w:w="3008" w:type="pct"/>
          </w:tcPr>
          <w:p w14:paraId="6FA1BD8B"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Posiadane przez instytucję bezpośrednie, pośrednie i syntetyczne udziały kapitałowe w instrumentach w kapitale podstawowym Tier I podmiotów sektora finansowego, jeżeli instytucja nie dokonała znacznej inwestycji w te podmioty (kwota przekraczająca próg 10% oraz po odliczeniu kwalifikowanych pozycji krótkich) (kwota ujemna)</w:t>
            </w:r>
          </w:p>
        </w:tc>
        <w:tc>
          <w:tcPr>
            <w:tcW w:w="1562" w:type="pct"/>
          </w:tcPr>
          <w:p w14:paraId="2AF15FA7" w14:textId="0D132B80" w:rsidR="00C9064F" w:rsidRPr="0003509A" w:rsidRDefault="00913C88" w:rsidP="00913C88">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7EF9A8F9"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2844700"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19</w:t>
            </w:r>
          </w:p>
        </w:tc>
        <w:tc>
          <w:tcPr>
            <w:tcW w:w="3008" w:type="pct"/>
          </w:tcPr>
          <w:p w14:paraId="07A4BA92"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Posiadane przez instytucję bezpośrednie, pośrednie i syntetyczne udziały kapitałowe w instrumentach w kapitale podstawowym Tier I podmiotów sektora finansowego, jeżeli instytucja dokonała znacznej inwestycji w te podmioty (kwota przekraczająca próg 10% oraz po odliczeniu kwalifikowanych pozycji krótkich) (kwota ujemna)</w:t>
            </w:r>
          </w:p>
        </w:tc>
        <w:tc>
          <w:tcPr>
            <w:tcW w:w="1562" w:type="pct"/>
          </w:tcPr>
          <w:p w14:paraId="55963846" w14:textId="337873CA" w:rsidR="00C9064F" w:rsidRPr="0003509A" w:rsidRDefault="00913C88"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729751D0"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AD4469A"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21</w:t>
            </w:r>
          </w:p>
        </w:tc>
        <w:tc>
          <w:tcPr>
            <w:tcW w:w="3008" w:type="pct"/>
          </w:tcPr>
          <w:p w14:paraId="4CA55C62"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Aktywa z tytułu odroczonego podatku dochodowego wynikające z różnic przejściowych (kwota przekraczająca próg 10% po odliczeniu powiązanej rezerwy z tytułu odroczonego podatku dochodowego w przypadku spełnienia warunków określonych w art. 38 ust. 3 (kwota ujemna)</w:t>
            </w:r>
          </w:p>
        </w:tc>
        <w:tc>
          <w:tcPr>
            <w:tcW w:w="1562" w:type="pct"/>
          </w:tcPr>
          <w:p w14:paraId="7ED5FEA7" w14:textId="20453E2C" w:rsidR="00C9064F" w:rsidRPr="0003509A" w:rsidRDefault="00180D47"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28320A35"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22A9039"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22</w:t>
            </w:r>
          </w:p>
        </w:tc>
        <w:tc>
          <w:tcPr>
            <w:tcW w:w="3008" w:type="pct"/>
          </w:tcPr>
          <w:p w14:paraId="25EBB7B2"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przekraczająca próg 17,65% (kwota ujemna)</w:t>
            </w:r>
          </w:p>
        </w:tc>
        <w:tc>
          <w:tcPr>
            <w:tcW w:w="1562" w:type="pct"/>
          </w:tcPr>
          <w:p w14:paraId="5EF2EB19" w14:textId="1B6EDE47" w:rsidR="00C9064F" w:rsidRPr="0003509A" w:rsidRDefault="00180D47"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70ACF067"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2BE4ADA"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23</w:t>
            </w:r>
          </w:p>
        </w:tc>
        <w:tc>
          <w:tcPr>
            <w:tcW w:w="3008" w:type="pct"/>
          </w:tcPr>
          <w:p w14:paraId="794A5E7D"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posiadane przez instytucję bezpośrednie i pośrednie instrumenty w kapitale podstawowym Tier I podmiotów sektora finansowego, jeżeli instytucja dokonała znacznej inwestycji w te podmioty</w:t>
            </w:r>
          </w:p>
        </w:tc>
        <w:tc>
          <w:tcPr>
            <w:tcW w:w="1562" w:type="pct"/>
          </w:tcPr>
          <w:p w14:paraId="3517E4AF" w14:textId="0751F76E" w:rsidR="00C9064F" w:rsidRPr="0003509A" w:rsidRDefault="00180D47"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8CAAA4C"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58F8FA9"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25</w:t>
            </w:r>
          </w:p>
        </w:tc>
        <w:tc>
          <w:tcPr>
            <w:tcW w:w="3008" w:type="pct"/>
          </w:tcPr>
          <w:p w14:paraId="5F872421"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aktywa z tytułu odroczonego podatku dochodowego wynikające z różnic przejściowych</w:t>
            </w:r>
          </w:p>
        </w:tc>
        <w:tc>
          <w:tcPr>
            <w:tcW w:w="1562" w:type="pct"/>
          </w:tcPr>
          <w:p w14:paraId="5E81E8BE" w14:textId="6E8DDBD3" w:rsidR="00C9064F" w:rsidRPr="0003509A" w:rsidRDefault="00180D47" w:rsidP="00913C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5998F623"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1F40751"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25a</w:t>
            </w:r>
          </w:p>
        </w:tc>
        <w:tc>
          <w:tcPr>
            <w:tcW w:w="3008" w:type="pct"/>
          </w:tcPr>
          <w:p w14:paraId="19C982DF"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Straty za bieżący rok obrachunkowy (kwota ujemna)</w:t>
            </w:r>
          </w:p>
        </w:tc>
        <w:tc>
          <w:tcPr>
            <w:tcW w:w="1562" w:type="pct"/>
          </w:tcPr>
          <w:p w14:paraId="62AE73AF" w14:textId="53371594" w:rsidR="00C9064F" w:rsidRPr="0003509A" w:rsidRDefault="00180D47"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4CB68BEA"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C27765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25b</w:t>
            </w:r>
          </w:p>
        </w:tc>
        <w:tc>
          <w:tcPr>
            <w:tcW w:w="3008" w:type="pct"/>
          </w:tcPr>
          <w:p w14:paraId="70F357A5"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Możliwe do przewidzenia obciążenia podatkowe związane z pozycjami kapitału podstawowego Tier I (kwota ujemna)</w:t>
            </w:r>
          </w:p>
        </w:tc>
        <w:tc>
          <w:tcPr>
            <w:tcW w:w="1562" w:type="pct"/>
          </w:tcPr>
          <w:p w14:paraId="42763AB2" w14:textId="0343A636" w:rsidR="00C9064F" w:rsidRPr="0003509A" w:rsidRDefault="00180D47" w:rsidP="00913C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47D56106"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222744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27</w:t>
            </w:r>
          </w:p>
        </w:tc>
        <w:tc>
          <w:tcPr>
            <w:tcW w:w="3008" w:type="pct"/>
          </w:tcPr>
          <w:p w14:paraId="4ED30987"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Kwalifikowalne odliczenia od pozycji w kapitale dodatkowym Tier I które przekraczają wartość kapitału dodatkowego Tier I instytucji (kwota ujemna)</w:t>
            </w:r>
          </w:p>
        </w:tc>
        <w:tc>
          <w:tcPr>
            <w:tcW w:w="1562" w:type="pct"/>
          </w:tcPr>
          <w:p w14:paraId="11215C0F" w14:textId="554C181E" w:rsidR="00C9064F" w:rsidRPr="0003509A" w:rsidRDefault="00180D47" w:rsidP="00913C88">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646FB784"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FF7F82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lastRenderedPageBreak/>
              <w:t>28</w:t>
            </w:r>
          </w:p>
        </w:tc>
        <w:tc>
          <w:tcPr>
            <w:tcW w:w="3008" w:type="pct"/>
          </w:tcPr>
          <w:p w14:paraId="46F7A2E5"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Całkowite korekty regulacyjne w kapitale podstawowym Tier I</w:t>
            </w:r>
          </w:p>
        </w:tc>
        <w:tc>
          <w:tcPr>
            <w:tcW w:w="1562" w:type="pct"/>
          </w:tcPr>
          <w:p w14:paraId="253103E9" w14:textId="286BB250"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r w:rsidR="0001438A" w:rsidRPr="0003509A">
              <w:rPr>
                <w:rFonts w:ascii="Times New Roman" w:eastAsia="Times New Roman" w:hAnsi="Times New Roman" w:cs="Times New Roman"/>
                <w:iCs/>
                <w:lang w:eastAsia="pl-PL"/>
              </w:rPr>
              <w:t>65,00</w:t>
            </w:r>
          </w:p>
        </w:tc>
      </w:tr>
      <w:tr w:rsidR="0003509A" w:rsidRPr="0003509A" w14:paraId="00E191D2"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CE033CC"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29</w:t>
            </w:r>
          </w:p>
        </w:tc>
        <w:tc>
          <w:tcPr>
            <w:tcW w:w="3008" w:type="pct"/>
          </w:tcPr>
          <w:p w14:paraId="302FE1B7"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podstawowy Tier I</w:t>
            </w:r>
          </w:p>
        </w:tc>
        <w:tc>
          <w:tcPr>
            <w:tcW w:w="1562" w:type="pct"/>
          </w:tcPr>
          <w:p w14:paraId="37F303B2" w14:textId="66467162" w:rsidR="00C9064F" w:rsidRPr="0003509A" w:rsidRDefault="0001438A"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10 154</w:t>
            </w:r>
          </w:p>
        </w:tc>
      </w:tr>
      <w:tr w:rsidR="0003509A" w:rsidRPr="0003509A" w14:paraId="1F395ABE"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8A3C3B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33</w:t>
            </w:r>
          </w:p>
        </w:tc>
        <w:tc>
          <w:tcPr>
            <w:tcW w:w="3008" w:type="pct"/>
          </w:tcPr>
          <w:p w14:paraId="6D97ED37"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kwalifikujących się pozycji o których mowa w art. 484 ust. 4 i powiązane ażio emisyjne przeznaczone do wycofania z kapitału dodatkowego Tier I</w:t>
            </w:r>
          </w:p>
        </w:tc>
        <w:tc>
          <w:tcPr>
            <w:tcW w:w="1562" w:type="pct"/>
          </w:tcPr>
          <w:p w14:paraId="787442F3" w14:textId="6DD6411D"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p>
        </w:tc>
      </w:tr>
      <w:tr w:rsidR="0003509A" w:rsidRPr="0003509A" w14:paraId="301BC65A"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65AE53D"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36</w:t>
            </w:r>
          </w:p>
        </w:tc>
        <w:tc>
          <w:tcPr>
            <w:tcW w:w="3008" w:type="pct"/>
          </w:tcPr>
          <w:p w14:paraId="18195A89"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dodatkowy Tier I przed korektami regulacyjnymi</w:t>
            </w:r>
          </w:p>
        </w:tc>
        <w:tc>
          <w:tcPr>
            <w:tcW w:w="1562" w:type="pct"/>
          </w:tcPr>
          <w:p w14:paraId="1FB2F989" w14:textId="4F8CDD9C"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D90B8FC"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4952C69"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39</w:t>
            </w:r>
          </w:p>
        </w:tc>
        <w:tc>
          <w:tcPr>
            <w:tcW w:w="3008" w:type="pct"/>
          </w:tcPr>
          <w:p w14:paraId="59D57715"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Bezpośrednie, pośrednie i syntetyczne udziały kapitałowe we własnych instrumentach dodatkowych w kapitale Tier I podmiotów sektora finansowego, jeżeli instytucja nie dokonała znacznej inwestycji w te podmioty (kwota przekraczająca próg 10% oraz po odliczeniu kwalifikowanych pozycji krótkich) (kwota ujemna)</w:t>
            </w:r>
          </w:p>
        </w:tc>
        <w:tc>
          <w:tcPr>
            <w:tcW w:w="1562" w:type="pct"/>
          </w:tcPr>
          <w:p w14:paraId="6D4650A5" w14:textId="6A1E8F0C"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0CBBF2A1"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4157CE0"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40</w:t>
            </w:r>
          </w:p>
        </w:tc>
        <w:tc>
          <w:tcPr>
            <w:tcW w:w="3008" w:type="pct"/>
          </w:tcPr>
          <w:p w14:paraId="77649BB3"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Posiadane przez instytucję bezpośrednie, pośrednie i syntetyczne udziały kapitałowe we własnych instrumentach dodatkowych w kapitale Tier I podmiotów sektora finansowego, jeżeli instytucja dokonała znacznej inwestycji w te podmioty (po odliczeniu kwalifikowanych pozycji krótkich) (kwota ujemna)</w:t>
            </w:r>
          </w:p>
        </w:tc>
        <w:tc>
          <w:tcPr>
            <w:tcW w:w="1562" w:type="pct"/>
          </w:tcPr>
          <w:p w14:paraId="69B62BD1" w14:textId="3162B659"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74F94504"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157CE13"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42</w:t>
            </w:r>
          </w:p>
        </w:tc>
        <w:tc>
          <w:tcPr>
            <w:tcW w:w="3008" w:type="pct"/>
          </w:tcPr>
          <w:p w14:paraId="40898299"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Kwalifikowalne odliczenia od pozycji w kapitale Tier II które przekraczają wartość kapitału Tier II instytucji (wartość ujemna)</w:t>
            </w:r>
          </w:p>
        </w:tc>
        <w:tc>
          <w:tcPr>
            <w:tcW w:w="1562" w:type="pct"/>
          </w:tcPr>
          <w:p w14:paraId="7663FD4C" w14:textId="32FA38E4"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2FFEF03B"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9D9A6C3"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43</w:t>
            </w:r>
          </w:p>
        </w:tc>
        <w:tc>
          <w:tcPr>
            <w:tcW w:w="3008" w:type="pct"/>
          </w:tcPr>
          <w:p w14:paraId="4DDF4781"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Całkowite korekty regulacyjne w kapitale dodatkowym Tier I</w:t>
            </w:r>
          </w:p>
        </w:tc>
        <w:tc>
          <w:tcPr>
            <w:tcW w:w="1562" w:type="pct"/>
          </w:tcPr>
          <w:p w14:paraId="09C6F057" w14:textId="44656463"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1C5AA558"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252CADE"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44</w:t>
            </w:r>
          </w:p>
        </w:tc>
        <w:tc>
          <w:tcPr>
            <w:tcW w:w="3008" w:type="pct"/>
          </w:tcPr>
          <w:p w14:paraId="1D3D92C6"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dodatkowy Tier I</w:t>
            </w:r>
          </w:p>
        </w:tc>
        <w:tc>
          <w:tcPr>
            <w:tcW w:w="1562" w:type="pct"/>
          </w:tcPr>
          <w:p w14:paraId="5E346D86" w14:textId="284F34E6"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0"/>
                <w:szCs w:val="20"/>
                <w:lang w:eastAsia="pl-PL"/>
              </w:rPr>
            </w:pPr>
            <w:r w:rsidRPr="0003509A">
              <w:rPr>
                <w:rFonts w:ascii="Times New Roman" w:eastAsia="Times New Roman" w:hAnsi="Times New Roman" w:cs="Times New Roman"/>
                <w:b/>
                <w:i/>
                <w:sz w:val="20"/>
                <w:szCs w:val="20"/>
                <w:lang w:eastAsia="pl-PL"/>
              </w:rPr>
              <w:t>-</w:t>
            </w:r>
          </w:p>
        </w:tc>
      </w:tr>
      <w:tr w:rsidR="0003509A" w:rsidRPr="0003509A" w14:paraId="2BF24A24"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C85D78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45</w:t>
            </w:r>
          </w:p>
        </w:tc>
        <w:tc>
          <w:tcPr>
            <w:tcW w:w="3008" w:type="pct"/>
          </w:tcPr>
          <w:p w14:paraId="15A9C5C9"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Tier I (kapitał Tier I = kapitał podstawowy Tier I + kapitał dodatkowy Tier I)</w:t>
            </w:r>
          </w:p>
        </w:tc>
        <w:tc>
          <w:tcPr>
            <w:tcW w:w="1562" w:type="pct"/>
          </w:tcPr>
          <w:p w14:paraId="2D1579E6" w14:textId="12C63472" w:rsidR="00C9064F" w:rsidRPr="0003509A" w:rsidRDefault="0001438A"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10 250,00</w:t>
            </w:r>
          </w:p>
        </w:tc>
      </w:tr>
      <w:tr w:rsidR="0003509A" w:rsidRPr="0003509A" w14:paraId="3DFC7A9B"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09131BE7"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46</w:t>
            </w:r>
          </w:p>
        </w:tc>
        <w:tc>
          <w:tcPr>
            <w:tcW w:w="3008" w:type="pct"/>
          </w:tcPr>
          <w:p w14:paraId="3D2211B5"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Instrumenty kapitałowe i powiązane ażio emisyjne</w:t>
            </w:r>
          </w:p>
        </w:tc>
        <w:tc>
          <w:tcPr>
            <w:tcW w:w="1562" w:type="pct"/>
          </w:tcPr>
          <w:p w14:paraId="5F0E2DB6" w14:textId="105CB5A8"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731023D5"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9F85DD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47</w:t>
            </w:r>
          </w:p>
        </w:tc>
        <w:tc>
          <w:tcPr>
            <w:tcW w:w="3008" w:type="pct"/>
          </w:tcPr>
          <w:p w14:paraId="68347FD4"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kwalifikujących się pozycji o których mowa w art. 484 ust. 5 i powiązane ażio emisyjne przeznaczone do wycofania z kapitału Tier II</w:t>
            </w:r>
          </w:p>
        </w:tc>
        <w:tc>
          <w:tcPr>
            <w:tcW w:w="1562" w:type="pct"/>
          </w:tcPr>
          <w:p w14:paraId="4118E4D9" w14:textId="4FB197FE"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400A4E10"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D3B9BC3"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50</w:t>
            </w:r>
          </w:p>
        </w:tc>
        <w:tc>
          <w:tcPr>
            <w:tcW w:w="3008" w:type="pct"/>
          </w:tcPr>
          <w:p w14:paraId="02D36B93"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Korekty z tytułu ryzyka kredytowego</w:t>
            </w:r>
          </w:p>
        </w:tc>
        <w:tc>
          <w:tcPr>
            <w:tcW w:w="1562" w:type="pct"/>
          </w:tcPr>
          <w:p w14:paraId="03D290D1" w14:textId="4D1A44E1" w:rsidR="00C9064F" w:rsidRPr="0003509A" w:rsidRDefault="0001438A"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140</w:t>
            </w:r>
            <w:r w:rsidR="00180D47" w:rsidRPr="0003509A">
              <w:rPr>
                <w:rFonts w:ascii="Times New Roman" w:eastAsia="Times New Roman" w:hAnsi="Times New Roman" w:cs="Times New Roman"/>
                <w:iCs/>
                <w:lang w:eastAsia="pl-PL"/>
              </w:rPr>
              <w:t>,00</w:t>
            </w:r>
          </w:p>
        </w:tc>
      </w:tr>
      <w:tr w:rsidR="0003509A" w:rsidRPr="0003509A" w14:paraId="0AAE4325"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66185C1"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51</w:t>
            </w:r>
          </w:p>
        </w:tc>
        <w:tc>
          <w:tcPr>
            <w:tcW w:w="3008" w:type="pct"/>
          </w:tcPr>
          <w:p w14:paraId="465538BF"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Tier II przed korektami regulacyjnymi</w:t>
            </w:r>
          </w:p>
        </w:tc>
        <w:tc>
          <w:tcPr>
            <w:tcW w:w="1562" w:type="pct"/>
          </w:tcPr>
          <w:p w14:paraId="4E6EC5FC" w14:textId="1F5235E8"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w:t>
            </w:r>
            <w:r w:rsidR="0001438A" w:rsidRPr="0003509A">
              <w:rPr>
                <w:rFonts w:ascii="Times New Roman" w:eastAsia="Times New Roman" w:hAnsi="Times New Roman" w:cs="Times New Roman"/>
                <w:iCs/>
                <w:lang w:eastAsia="pl-PL"/>
              </w:rPr>
              <w:t>40</w:t>
            </w:r>
            <w:r w:rsidRPr="0003509A">
              <w:rPr>
                <w:rFonts w:ascii="Times New Roman" w:eastAsia="Times New Roman" w:hAnsi="Times New Roman" w:cs="Times New Roman"/>
                <w:iCs/>
                <w:lang w:eastAsia="pl-PL"/>
              </w:rPr>
              <w:t>,00</w:t>
            </w:r>
          </w:p>
        </w:tc>
      </w:tr>
      <w:tr w:rsidR="0003509A" w:rsidRPr="0003509A" w14:paraId="5F1B0BBB"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A5299D0"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54</w:t>
            </w:r>
          </w:p>
        </w:tc>
        <w:tc>
          <w:tcPr>
            <w:tcW w:w="3008" w:type="pct"/>
          </w:tcPr>
          <w:p w14:paraId="2DE3A352"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Bezpośrednie i pośrednie udziały kapitałowe w instrumentach w kapitale Tier II i pożyczki podporządkowane podmiotów sektora finansowego, jeżeli instytucja nie dokonała znacznej inwestycji w te podmioty (kwota przekraczająca próg 10% oraz po odliczeniu kwalifikowanych pozycji krótkich) (kwota ujemna)</w:t>
            </w:r>
          </w:p>
        </w:tc>
        <w:tc>
          <w:tcPr>
            <w:tcW w:w="1562" w:type="pct"/>
          </w:tcPr>
          <w:p w14:paraId="10FD43B4" w14:textId="174BD32E"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16A91EB0"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B9DFFBE"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55</w:t>
            </w:r>
          </w:p>
        </w:tc>
        <w:tc>
          <w:tcPr>
            <w:tcW w:w="3008" w:type="pct"/>
          </w:tcPr>
          <w:p w14:paraId="6768EAB2"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Posiadane przez instytucję bezpośrednie i pośrednie udziały kapitałowe w instrumentach w kapitale Tier II i pożyczki podporządkowane podmiotów sektora finansowego, jeżeli instytucja dokonała znacznej inwestycji w te podmioty (po odliczeniu kwalifikowanych pozycji krótkich) (kwota ujemna)</w:t>
            </w:r>
          </w:p>
        </w:tc>
        <w:tc>
          <w:tcPr>
            <w:tcW w:w="1562" w:type="pct"/>
          </w:tcPr>
          <w:p w14:paraId="3F00A43A" w14:textId="52F145EE"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4199838E"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10B02B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57</w:t>
            </w:r>
          </w:p>
        </w:tc>
        <w:tc>
          <w:tcPr>
            <w:tcW w:w="3008" w:type="pct"/>
          </w:tcPr>
          <w:p w14:paraId="4E739925"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Całkowite korekty regulacyjne w kapitale Tier II</w:t>
            </w:r>
          </w:p>
        </w:tc>
        <w:tc>
          <w:tcPr>
            <w:tcW w:w="1562" w:type="pct"/>
          </w:tcPr>
          <w:p w14:paraId="43C6EDB1" w14:textId="0D149A79" w:rsidR="00C9064F" w:rsidRPr="0003509A" w:rsidRDefault="00180D47"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1E32A162"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3958B9C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58</w:t>
            </w:r>
          </w:p>
        </w:tc>
        <w:tc>
          <w:tcPr>
            <w:tcW w:w="3008" w:type="pct"/>
          </w:tcPr>
          <w:p w14:paraId="1BDBBCF2"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Tier II</w:t>
            </w:r>
          </w:p>
        </w:tc>
        <w:tc>
          <w:tcPr>
            <w:tcW w:w="1562" w:type="pct"/>
          </w:tcPr>
          <w:p w14:paraId="57EC457D" w14:textId="37C2E103"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w:t>
            </w:r>
            <w:r w:rsidR="0001438A" w:rsidRPr="0003509A">
              <w:rPr>
                <w:rFonts w:ascii="Times New Roman" w:eastAsia="Times New Roman" w:hAnsi="Times New Roman" w:cs="Times New Roman"/>
                <w:iCs/>
                <w:lang w:eastAsia="pl-PL"/>
              </w:rPr>
              <w:t>40</w:t>
            </w:r>
            <w:r w:rsidRPr="0003509A">
              <w:rPr>
                <w:rFonts w:ascii="Times New Roman" w:eastAsia="Times New Roman" w:hAnsi="Times New Roman" w:cs="Times New Roman"/>
                <w:iCs/>
                <w:lang w:eastAsia="pl-PL"/>
              </w:rPr>
              <w:t>,00</w:t>
            </w:r>
          </w:p>
        </w:tc>
      </w:tr>
      <w:tr w:rsidR="0003509A" w:rsidRPr="0003509A" w14:paraId="61BB19F6"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765DF5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59</w:t>
            </w:r>
          </w:p>
        </w:tc>
        <w:tc>
          <w:tcPr>
            <w:tcW w:w="3008" w:type="pct"/>
          </w:tcPr>
          <w:p w14:paraId="3A35723B"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Łączny kapitał (łączny kapitał = kapitał Tier I + kapitał Tier II)</w:t>
            </w:r>
          </w:p>
        </w:tc>
        <w:tc>
          <w:tcPr>
            <w:tcW w:w="1562" w:type="pct"/>
          </w:tcPr>
          <w:p w14:paraId="2F6C1DAC" w14:textId="565AE423" w:rsidR="00C9064F" w:rsidRPr="0003509A" w:rsidRDefault="0001438A"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lang w:eastAsia="pl-PL"/>
              </w:rPr>
            </w:pPr>
            <w:r w:rsidRPr="0003509A">
              <w:rPr>
                <w:rFonts w:ascii="Times New Roman" w:eastAsia="Times New Roman" w:hAnsi="Times New Roman" w:cs="Times New Roman"/>
                <w:b/>
                <w:iCs/>
                <w:lang w:eastAsia="pl-PL"/>
              </w:rPr>
              <w:t>10 390,00</w:t>
            </w:r>
          </w:p>
        </w:tc>
      </w:tr>
      <w:tr w:rsidR="0003509A" w:rsidRPr="0003509A" w14:paraId="04D4F9D2"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1DFE15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60</w:t>
            </w:r>
          </w:p>
        </w:tc>
        <w:tc>
          <w:tcPr>
            <w:tcW w:w="3008" w:type="pct"/>
          </w:tcPr>
          <w:p w14:paraId="64D47A74"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Aktywa ważone ryzykiem razem</w:t>
            </w:r>
          </w:p>
        </w:tc>
        <w:tc>
          <w:tcPr>
            <w:tcW w:w="1562" w:type="pct"/>
          </w:tcPr>
          <w:p w14:paraId="466AA8A7" w14:textId="58553EC9" w:rsidR="00C9064F" w:rsidRPr="0003509A" w:rsidRDefault="00180D47" w:rsidP="00180D47">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6</w:t>
            </w:r>
            <w:r w:rsidR="0001438A" w:rsidRPr="0003509A">
              <w:rPr>
                <w:rFonts w:ascii="Times New Roman" w:eastAsia="Times New Roman" w:hAnsi="Times New Roman" w:cs="Times New Roman"/>
                <w:iCs/>
                <w:lang w:eastAsia="pl-PL"/>
              </w:rPr>
              <w:t>1 994,00</w:t>
            </w:r>
          </w:p>
        </w:tc>
      </w:tr>
      <w:tr w:rsidR="0003509A" w:rsidRPr="0003509A" w14:paraId="3814C512"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7980970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61</w:t>
            </w:r>
          </w:p>
        </w:tc>
        <w:tc>
          <w:tcPr>
            <w:tcW w:w="3008" w:type="pct"/>
          </w:tcPr>
          <w:p w14:paraId="552EA1B0"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podstawowy Tier I (wyrażony jako odsetek kwoty ekspozycji na ryzyko)</w:t>
            </w:r>
          </w:p>
        </w:tc>
        <w:tc>
          <w:tcPr>
            <w:tcW w:w="1562" w:type="pct"/>
          </w:tcPr>
          <w:p w14:paraId="78FDB4FA" w14:textId="2FC15662" w:rsidR="00C9064F" w:rsidRPr="0003509A" w:rsidRDefault="008C5CA8" w:rsidP="00180D4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w:t>
            </w:r>
            <w:r w:rsidR="0001438A" w:rsidRPr="0003509A">
              <w:rPr>
                <w:rFonts w:ascii="Times New Roman" w:eastAsia="Times New Roman" w:hAnsi="Times New Roman" w:cs="Times New Roman"/>
                <w:iCs/>
                <w:lang w:eastAsia="pl-PL"/>
              </w:rPr>
              <w:t>6,53</w:t>
            </w:r>
            <w:r w:rsidRPr="0003509A">
              <w:rPr>
                <w:rFonts w:ascii="Times New Roman" w:eastAsia="Times New Roman" w:hAnsi="Times New Roman" w:cs="Times New Roman"/>
                <w:iCs/>
                <w:lang w:eastAsia="pl-PL"/>
              </w:rPr>
              <w:t>%</w:t>
            </w:r>
          </w:p>
        </w:tc>
      </w:tr>
      <w:tr w:rsidR="0003509A" w:rsidRPr="0003509A" w14:paraId="31BCA9E3"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0FD90CE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62</w:t>
            </w:r>
          </w:p>
        </w:tc>
        <w:tc>
          <w:tcPr>
            <w:tcW w:w="3008" w:type="pct"/>
          </w:tcPr>
          <w:p w14:paraId="14D0805D"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Tier I (wyrażony jako odsetek kwoty ekspozycji na ryzyko)</w:t>
            </w:r>
          </w:p>
        </w:tc>
        <w:tc>
          <w:tcPr>
            <w:tcW w:w="1562" w:type="pct"/>
          </w:tcPr>
          <w:p w14:paraId="1DD93B17" w14:textId="449C5E37" w:rsidR="00C9064F" w:rsidRPr="0003509A" w:rsidRDefault="008C5CA8" w:rsidP="008C5CA8">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rPr>
            </w:pPr>
            <w:r w:rsidRPr="0003509A">
              <w:rPr>
                <w:rFonts w:ascii="Times New Roman" w:hAnsi="Times New Roman" w:cs="Times New Roman"/>
                <w:iCs/>
              </w:rPr>
              <w:t>1</w:t>
            </w:r>
            <w:r w:rsidR="0001438A" w:rsidRPr="0003509A">
              <w:rPr>
                <w:rFonts w:ascii="Times New Roman" w:hAnsi="Times New Roman" w:cs="Times New Roman"/>
                <w:iCs/>
              </w:rPr>
              <w:t>6,53</w:t>
            </w:r>
            <w:r w:rsidRPr="0003509A">
              <w:rPr>
                <w:rFonts w:ascii="Times New Roman" w:hAnsi="Times New Roman" w:cs="Times New Roman"/>
                <w:iCs/>
              </w:rPr>
              <w:t>%</w:t>
            </w:r>
          </w:p>
        </w:tc>
      </w:tr>
      <w:tr w:rsidR="0003509A" w:rsidRPr="0003509A" w14:paraId="5ED7EA47"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DCE3CB6"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63</w:t>
            </w:r>
          </w:p>
        </w:tc>
        <w:tc>
          <w:tcPr>
            <w:tcW w:w="3008" w:type="pct"/>
          </w:tcPr>
          <w:p w14:paraId="5BFBE463"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Łączny kapitał (wyrażony jako odsetek kwoty ekspozycji na ryzyko)</w:t>
            </w:r>
          </w:p>
        </w:tc>
        <w:tc>
          <w:tcPr>
            <w:tcW w:w="1562" w:type="pct"/>
          </w:tcPr>
          <w:p w14:paraId="697594BC" w14:textId="4C04DBE1" w:rsidR="00C9064F" w:rsidRPr="0003509A" w:rsidRDefault="008C5CA8" w:rsidP="008C5C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rPr>
            </w:pPr>
            <w:r w:rsidRPr="0003509A">
              <w:rPr>
                <w:rFonts w:ascii="Times New Roman" w:hAnsi="Times New Roman" w:cs="Times New Roman"/>
                <w:b/>
                <w:bCs/>
                <w:iCs/>
              </w:rPr>
              <w:t>1</w:t>
            </w:r>
            <w:r w:rsidR="0001438A" w:rsidRPr="0003509A">
              <w:rPr>
                <w:rFonts w:ascii="Times New Roman" w:hAnsi="Times New Roman" w:cs="Times New Roman"/>
                <w:b/>
                <w:bCs/>
                <w:iCs/>
              </w:rPr>
              <w:t>6,76</w:t>
            </w:r>
            <w:r w:rsidRPr="0003509A">
              <w:rPr>
                <w:rFonts w:ascii="Times New Roman" w:hAnsi="Times New Roman" w:cs="Times New Roman"/>
                <w:b/>
                <w:bCs/>
                <w:iCs/>
              </w:rPr>
              <w:t>%</w:t>
            </w:r>
          </w:p>
        </w:tc>
      </w:tr>
      <w:tr w:rsidR="0003509A" w:rsidRPr="0003509A" w14:paraId="3DBBEA45"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C439AE9"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64</w:t>
            </w:r>
          </w:p>
        </w:tc>
        <w:tc>
          <w:tcPr>
            <w:tcW w:w="3008" w:type="pct"/>
          </w:tcPr>
          <w:p w14:paraId="689A8C72"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Wymóg bufora dla poszczególnych instytucji (wymóg dotyczący kapitału podstawowego Tier I zgodnie z art. 92 ust. 1 lit. a) powiększony o wymogi utrzymywania bufora zabezpieczającego i antycyklicznego, jak również bufor ryzyka systemowego oraz bufor instytucji o znaczeniu systemowym wyrażony jako odsetek kwoty ekspozycji na ryzyko)</w:t>
            </w:r>
          </w:p>
        </w:tc>
        <w:tc>
          <w:tcPr>
            <w:tcW w:w="1562" w:type="pct"/>
          </w:tcPr>
          <w:p w14:paraId="1A3D5393" w14:textId="25D10854" w:rsidR="00435764" w:rsidRPr="0003509A" w:rsidRDefault="0001438A" w:rsidP="00787299">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1 550</w:t>
            </w:r>
            <w:r w:rsidR="00787299" w:rsidRPr="0003509A">
              <w:rPr>
                <w:rFonts w:ascii="Times New Roman" w:eastAsia="Times New Roman" w:hAnsi="Times New Roman" w:cs="Times New Roman"/>
                <w:iCs/>
                <w:lang w:eastAsia="pl-PL"/>
              </w:rPr>
              <w:t>,00</w:t>
            </w:r>
          </w:p>
        </w:tc>
      </w:tr>
      <w:tr w:rsidR="0003509A" w:rsidRPr="0003509A" w14:paraId="499A5796"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D1737EC"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65</w:t>
            </w:r>
          </w:p>
        </w:tc>
        <w:tc>
          <w:tcPr>
            <w:tcW w:w="3008" w:type="pct"/>
          </w:tcPr>
          <w:p w14:paraId="2EC9574A"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wymóg utrzymywania bufora zabezpieczającego</w:t>
            </w:r>
          </w:p>
        </w:tc>
        <w:tc>
          <w:tcPr>
            <w:tcW w:w="1562" w:type="pct"/>
          </w:tcPr>
          <w:p w14:paraId="7D2683C7" w14:textId="7CD72E22" w:rsidR="00C9064F" w:rsidRPr="0003509A" w:rsidRDefault="0001438A" w:rsidP="007872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1 550</w:t>
            </w:r>
            <w:r w:rsidR="00787299" w:rsidRPr="0003509A">
              <w:rPr>
                <w:rFonts w:ascii="Times New Roman" w:eastAsia="Times New Roman" w:hAnsi="Times New Roman" w:cs="Times New Roman"/>
                <w:iCs/>
                <w:lang w:eastAsia="pl-PL"/>
              </w:rPr>
              <w:t>,00</w:t>
            </w:r>
          </w:p>
        </w:tc>
      </w:tr>
      <w:tr w:rsidR="0003509A" w:rsidRPr="0003509A" w14:paraId="7F0D7730"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11EFDB8"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66</w:t>
            </w:r>
          </w:p>
        </w:tc>
        <w:tc>
          <w:tcPr>
            <w:tcW w:w="3008" w:type="pct"/>
          </w:tcPr>
          <w:p w14:paraId="5CF848B8"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wymóg utrzymywania bufora antycyklicznego</w:t>
            </w:r>
          </w:p>
        </w:tc>
        <w:tc>
          <w:tcPr>
            <w:tcW w:w="1562" w:type="pct"/>
          </w:tcPr>
          <w:p w14:paraId="3C0AA29F" w14:textId="5E193F1F" w:rsidR="00C9064F" w:rsidRPr="0003509A" w:rsidRDefault="00787299" w:rsidP="00787299">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p>
        </w:tc>
      </w:tr>
      <w:tr w:rsidR="0003509A" w:rsidRPr="0003509A" w14:paraId="3EDD25A8"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2A26CF1"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67</w:t>
            </w:r>
          </w:p>
        </w:tc>
        <w:tc>
          <w:tcPr>
            <w:tcW w:w="3008" w:type="pct"/>
          </w:tcPr>
          <w:p w14:paraId="6C3A20CE"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wymóg utrzymywania bufora ryzyka systemowego</w:t>
            </w:r>
          </w:p>
        </w:tc>
        <w:tc>
          <w:tcPr>
            <w:tcW w:w="1562" w:type="pct"/>
          </w:tcPr>
          <w:p w14:paraId="0D097514" w14:textId="7C1D165F" w:rsidR="00C9064F" w:rsidRPr="0003509A" w:rsidRDefault="0001438A" w:rsidP="0001438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 xml:space="preserve">- </w:t>
            </w:r>
          </w:p>
        </w:tc>
      </w:tr>
      <w:tr w:rsidR="0003509A" w:rsidRPr="0003509A" w14:paraId="3B5ED572"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4FA6A02"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67a</w:t>
            </w:r>
          </w:p>
        </w:tc>
        <w:tc>
          <w:tcPr>
            <w:tcW w:w="3008" w:type="pct"/>
          </w:tcPr>
          <w:p w14:paraId="55C1AF9C"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 tym: bufor globalnych instytucji o znaczeniu systemowym lub bufor innych instytucji o znaczeniu systemowym</w:t>
            </w:r>
          </w:p>
        </w:tc>
        <w:tc>
          <w:tcPr>
            <w:tcW w:w="1562" w:type="pct"/>
          </w:tcPr>
          <w:p w14:paraId="027AC832" w14:textId="465FFABF" w:rsidR="00C9064F" w:rsidRPr="0003509A" w:rsidRDefault="00787299" w:rsidP="00787299">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w:t>
            </w:r>
          </w:p>
        </w:tc>
      </w:tr>
      <w:tr w:rsidR="0003509A" w:rsidRPr="0003509A" w14:paraId="7416D96E"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02F417F"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68</w:t>
            </w:r>
          </w:p>
        </w:tc>
        <w:tc>
          <w:tcPr>
            <w:tcW w:w="3008" w:type="pct"/>
          </w:tcPr>
          <w:p w14:paraId="6FF06FC3"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Kapitał podstawowy Tier I dostępny w celu pokrycia buforów (wyrażony jako odsetek kwoty ekspozycji na ryzyko)</w:t>
            </w:r>
          </w:p>
        </w:tc>
        <w:tc>
          <w:tcPr>
            <w:tcW w:w="1562" w:type="pct"/>
          </w:tcPr>
          <w:p w14:paraId="75FC88BE" w14:textId="20FF96A6" w:rsidR="00C9064F" w:rsidRPr="0003509A" w:rsidRDefault="00787299" w:rsidP="007872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lang w:eastAsia="pl-PL"/>
              </w:rPr>
            </w:pPr>
            <w:r w:rsidRPr="0003509A">
              <w:rPr>
                <w:rFonts w:ascii="Times New Roman" w:eastAsia="Times New Roman" w:hAnsi="Times New Roman" w:cs="Times New Roman"/>
                <w:iCs/>
                <w:lang w:eastAsia="pl-PL"/>
              </w:rPr>
              <w:t>1</w:t>
            </w:r>
            <w:r w:rsidR="0001438A" w:rsidRPr="0003509A">
              <w:rPr>
                <w:rFonts w:ascii="Times New Roman" w:eastAsia="Times New Roman" w:hAnsi="Times New Roman" w:cs="Times New Roman"/>
                <w:iCs/>
                <w:lang w:eastAsia="pl-PL"/>
              </w:rPr>
              <w:t>6,53</w:t>
            </w:r>
            <w:r w:rsidRPr="0003509A">
              <w:rPr>
                <w:rFonts w:ascii="Times New Roman" w:eastAsia="Times New Roman" w:hAnsi="Times New Roman" w:cs="Times New Roman"/>
                <w:iCs/>
                <w:lang w:eastAsia="pl-PL"/>
              </w:rPr>
              <w:t>%</w:t>
            </w:r>
          </w:p>
        </w:tc>
      </w:tr>
      <w:tr w:rsidR="0003509A" w:rsidRPr="0003509A" w14:paraId="101BC0C5"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BA04D4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72</w:t>
            </w:r>
          </w:p>
        </w:tc>
        <w:tc>
          <w:tcPr>
            <w:tcW w:w="3008" w:type="pct"/>
          </w:tcPr>
          <w:p w14:paraId="3FC110BB"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 xml:space="preserve">Bezpośrednie i pośrednie udziały kapitałowe podmiotów sektora finansowego, jeżeli instytucja nie dokonała znacznej inwestycji w te </w:t>
            </w:r>
            <w:r w:rsidRPr="0003509A">
              <w:rPr>
                <w:rFonts w:ascii="Times New Roman" w:hAnsi="Times New Roman" w:cs="Times New Roman"/>
                <w:sz w:val="18"/>
                <w:szCs w:val="18"/>
              </w:rPr>
              <w:lastRenderedPageBreak/>
              <w:t>podmioty (kwota poniżej progu 10% oraz po odliczeniu kwalifikowanych pozycji krótkich)</w:t>
            </w:r>
          </w:p>
        </w:tc>
        <w:tc>
          <w:tcPr>
            <w:tcW w:w="1562" w:type="pct"/>
          </w:tcPr>
          <w:p w14:paraId="6CABA667" w14:textId="0A259AD4" w:rsidR="00C9064F" w:rsidRPr="0003509A" w:rsidRDefault="00787299" w:rsidP="00787299">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lastRenderedPageBreak/>
              <w:t>-</w:t>
            </w:r>
          </w:p>
        </w:tc>
      </w:tr>
      <w:tr w:rsidR="0003509A" w:rsidRPr="0003509A" w14:paraId="7554BC34"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3BF091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73</w:t>
            </w:r>
          </w:p>
        </w:tc>
        <w:tc>
          <w:tcPr>
            <w:tcW w:w="3008" w:type="pct"/>
          </w:tcPr>
          <w:p w14:paraId="22CC10FF"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Posiadane przez instytucję bezpośrednie i pośrednie udziały kapitałowe w instrumentach w kapitale podstawowym Tier I podmiotów sektora finansowego jeżeli instytucja dokonała znacznej inwestycji w te podmioty (kwota poniżej progu 10% oraz po odliczeniu kwalifikowanych pozycji krótkich)</w:t>
            </w:r>
          </w:p>
        </w:tc>
        <w:tc>
          <w:tcPr>
            <w:tcW w:w="1562" w:type="pct"/>
          </w:tcPr>
          <w:p w14:paraId="09B4BA1E" w14:textId="59A37FAB" w:rsidR="00C9064F" w:rsidRPr="0003509A" w:rsidRDefault="00787299" w:rsidP="0078729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03509A">
              <w:rPr>
                <w:rFonts w:ascii="Times New Roman" w:hAnsi="Times New Roman" w:cs="Times New Roman"/>
                <w:i/>
                <w:sz w:val="18"/>
                <w:szCs w:val="18"/>
              </w:rPr>
              <w:t>-</w:t>
            </w:r>
          </w:p>
        </w:tc>
      </w:tr>
      <w:tr w:rsidR="0003509A" w:rsidRPr="0003509A" w14:paraId="5D55F7BE"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EC516A5"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75</w:t>
            </w:r>
          </w:p>
        </w:tc>
        <w:tc>
          <w:tcPr>
            <w:tcW w:w="3008" w:type="pct"/>
          </w:tcPr>
          <w:p w14:paraId="7A02863D"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Aktywa z tytułu odroczonego podatku dochodowego wynikające z różnic przejściowych (kwota poniżej progu 10% po odliczeniu powiązanej rezerwy z tytułu odroczonego podatku dochodowego w przypadku spełnienia warunków określonych w art. 38 ust. 3</w:t>
            </w:r>
          </w:p>
        </w:tc>
        <w:tc>
          <w:tcPr>
            <w:tcW w:w="1562" w:type="pct"/>
          </w:tcPr>
          <w:p w14:paraId="4DE4CB3E" w14:textId="049402EF" w:rsidR="00C9064F" w:rsidRPr="0003509A" w:rsidRDefault="00787299" w:rsidP="00787299">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EF22CFE"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60E1548"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76</w:t>
            </w:r>
          </w:p>
        </w:tc>
        <w:tc>
          <w:tcPr>
            <w:tcW w:w="3008" w:type="pct"/>
          </w:tcPr>
          <w:p w14:paraId="25533C28"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Korekty z tytułu ryzyka kredytowego uwzględnione w kapitale Tier II w odniesieniu do ekspozycji objętych metodą standardową (przed zastosowaniem pułapu)</w:t>
            </w:r>
          </w:p>
        </w:tc>
        <w:tc>
          <w:tcPr>
            <w:tcW w:w="1562" w:type="pct"/>
          </w:tcPr>
          <w:p w14:paraId="05378B93" w14:textId="5565BC21" w:rsidR="00C9064F" w:rsidRPr="0003509A" w:rsidRDefault="007E71BB" w:rsidP="007E71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49F142CB"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BB4D4A7"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77</w:t>
            </w:r>
          </w:p>
        </w:tc>
        <w:tc>
          <w:tcPr>
            <w:tcW w:w="3008" w:type="pct"/>
          </w:tcPr>
          <w:p w14:paraId="134EF658"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Pułap uwzględniania korekt z tytułu ryzyka kredytowego w kapitale Tier II zgodnie z metodą standardową</w:t>
            </w:r>
          </w:p>
        </w:tc>
        <w:tc>
          <w:tcPr>
            <w:tcW w:w="1562" w:type="pct"/>
          </w:tcPr>
          <w:p w14:paraId="574D4231" w14:textId="3AEF1AE6" w:rsidR="00C9064F" w:rsidRPr="0003509A" w:rsidRDefault="007E71BB" w:rsidP="007E71BB">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0"/>
                <w:szCs w:val="20"/>
                <w:lang w:eastAsia="pl-PL"/>
              </w:rPr>
            </w:pPr>
            <w:r w:rsidRPr="0003509A">
              <w:rPr>
                <w:rFonts w:ascii="Times New Roman" w:eastAsia="Times New Roman" w:hAnsi="Times New Roman" w:cs="Times New Roman"/>
                <w:i/>
                <w:sz w:val="20"/>
                <w:szCs w:val="20"/>
                <w:lang w:eastAsia="pl-PL"/>
              </w:rPr>
              <w:t>-</w:t>
            </w:r>
          </w:p>
        </w:tc>
      </w:tr>
      <w:tr w:rsidR="0003509A" w:rsidRPr="0003509A" w14:paraId="2D6BE09C"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79C3C4A"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80</w:t>
            </w:r>
          </w:p>
        </w:tc>
        <w:tc>
          <w:tcPr>
            <w:tcW w:w="3008" w:type="pct"/>
          </w:tcPr>
          <w:p w14:paraId="4FC1B4DB"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Bieżący pułap w odniesieniu do instrumentów w kapitale podstawowym Tier I będących przedmiotem ustaleń dotyczących wycofania</w:t>
            </w:r>
          </w:p>
        </w:tc>
        <w:tc>
          <w:tcPr>
            <w:tcW w:w="1562" w:type="pct"/>
          </w:tcPr>
          <w:p w14:paraId="55440475" w14:textId="01E7CC64" w:rsidR="00C9064F" w:rsidRPr="0003509A" w:rsidRDefault="007E71BB" w:rsidP="007E71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5BAEF618"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1E948DED"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81</w:t>
            </w:r>
          </w:p>
        </w:tc>
        <w:tc>
          <w:tcPr>
            <w:tcW w:w="3008" w:type="pct"/>
          </w:tcPr>
          <w:p w14:paraId="44157AFD"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wyłączona z kapitału podstawowego Tier I ze względu na pułap (nadwyżka ponad pułap po upływie terminów wykupu i zapadalności)</w:t>
            </w:r>
          </w:p>
        </w:tc>
        <w:tc>
          <w:tcPr>
            <w:tcW w:w="1562" w:type="pct"/>
          </w:tcPr>
          <w:p w14:paraId="071C171A" w14:textId="3498BBD8" w:rsidR="00C9064F" w:rsidRPr="0003509A" w:rsidRDefault="007E71BB" w:rsidP="007E71BB">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205CC12"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6223D2A7"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82</w:t>
            </w:r>
          </w:p>
        </w:tc>
        <w:tc>
          <w:tcPr>
            <w:tcW w:w="3008" w:type="pct"/>
          </w:tcPr>
          <w:p w14:paraId="13554C01"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Bieżący pułap w odniesieniu do instrumentów dodatkowych w kapitale Tier I będących przedmiotem ustaleń dotyczących wycofania</w:t>
            </w:r>
          </w:p>
        </w:tc>
        <w:tc>
          <w:tcPr>
            <w:tcW w:w="1562" w:type="pct"/>
          </w:tcPr>
          <w:p w14:paraId="4A517517" w14:textId="626B2B0E" w:rsidR="00C9064F" w:rsidRPr="0003509A" w:rsidRDefault="007E71BB" w:rsidP="007E71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587353FC"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2372AAC7"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83</w:t>
            </w:r>
          </w:p>
        </w:tc>
        <w:tc>
          <w:tcPr>
            <w:tcW w:w="3008" w:type="pct"/>
          </w:tcPr>
          <w:p w14:paraId="010E5EC7"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wyłączona z kapitału dodatkowego Tier I ze względu na pułap (nadwyżka ponad pułap po upływie terminów wykupu i zapadalności)</w:t>
            </w:r>
          </w:p>
        </w:tc>
        <w:tc>
          <w:tcPr>
            <w:tcW w:w="1562" w:type="pct"/>
          </w:tcPr>
          <w:p w14:paraId="1F569A8A" w14:textId="445FA3E8" w:rsidR="00C9064F" w:rsidRPr="0003509A" w:rsidRDefault="007E71BB" w:rsidP="007E71BB">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3128D5F9"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5B69C432"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84</w:t>
            </w:r>
          </w:p>
        </w:tc>
        <w:tc>
          <w:tcPr>
            <w:tcW w:w="3008" w:type="pct"/>
          </w:tcPr>
          <w:p w14:paraId="0398AC00" w14:textId="77777777" w:rsidR="00C9064F" w:rsidRPr="0003509A" w:rsidRDefault="00C9064F"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Bieżący pułap w odniesieniu do instrumentów w kapitale Tier II będących przedmiotem ustaleń dotyczących wycofania</w:t>
            </w:r>
          </w:p>
        </w:tc>
        <w:tc>
          <w:tcPr>
            <w:tcW w:w="1562" w:type="pct"/>
          </w:tcPr>
          <w:p w14:paraId="130B3CD1" w14:textId="241FE3BC" w:rsidR="00C9064F" w:rsidRPr="0003509A" w:rsidRDefault="007E71BB" w:rsidP="007E71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w:t>
            </w:r>
          </w:p>
        </w:tc>
      </w:tr>
      <w:tr w:rsidR="0003509A" w:rsidRPr="0003509A" w14:paraId="4B9B064C" w14:textId="77777777" w:rsidTr="00B85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06A58634" w14:textId="77777777" w:rsidR="00C9064F" w:rsidRPr="0003509A" w:rsidRDefault="00C9064F" w:rsidP="00B859E6">
            <w:pPr>
              <w:rPr>
                <w:rFonts w:ascii="Times New Roman" w:hAnsi="Times New Roman" w:cs="Times New Roman"/>
                <w:sz w:val="18"/>
                <w:szCs w:val="18"/>
              </w:rPr>
            </w:pPr>
            <w:r w:rsidRPr="0003509A">
              <w:rPr>
                <w:rFonts w:ascii="Times New Roman" w:hAnsi="Times New Roman" w:cs="Times New Roman"/>
                <w:sz w:val="18"/>
                <w:szCs w:val="18"/>
              </w:rPr>
              <w:t>85</w:t>
            </w:r>
          </w:p>
        </w:tc>
        <w:tc>
          <w:tcPr>
            <w:tcW w:w="3008" w:type="pct"/>
          </w:tcPr>
          <w:p w14:paraId="171A3D14" w14:textId="77777777" w:rsidR="00C9064F" w:rsidRPr="0003509A" w:rsidRDefault="00C9064F" w:rsidP="00B859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3509A">
              <w:rPr>
                <w:rFonts w:ascii="Times New Roman" w:hAnsi="Times New Roman" w:cs="Times New Roman"/>
                <w:sz w:val="18"/>
                <w:szCs w:val="18"/>
              </w:rPr>
              <w:t>Kwota wyłączona z kapitału Tier II ze względu na pułap (nadwyżka ponad pułap po upływie terminów wykupu i zapadalności)</w:t>
            </w:r>
          </w:p>
        </w:tc>
        <w:tc>
          <w:tcPr>
            <w:tcW w:w="1562" w:type="pct"/>
          </w:tcPr>
          <w:p w14:paraId="64A5E6FB" w14:textId="76705EB6" w:rsidR="00C9064F" w:rsidRPr="0003509A" w:rsidRDefault="007E71BB" w:rsidP="007E71BB">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lang w:eastAsia="pl-PL"/>
              </w:rPr>
            </w:pPr>
            <w:r w:rsidRPr="0003509A">
              <w:rPr>
                <w:rFonts w:ascii="Times New Roman" w:eastAsia="Times New Roman" w:hAnsi="Times New Roman" w:cs="Times New Roman"/>
                <w:i/>
                <w:lang w:eastAsia="pl-PL"/>
              </w:rPr>
              <w:t>-</w:t>
            </w:r>
          </w:p>
        </w:tc>
      </w:tr>
      <w:tr w:rsidR="0003509A" w:rsidRPr="0003509A" w14:paraId="648D99B2" w14:textId="77777777" w:rsidTr="00B85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Pr>
          <w:p w14:paraId="4A854519" w14:textId="77777777" w:rsidR="000F3724" w:rsidRPr="0003509A" w:rsidRDefault="000F3724" w:rsidP="00B859E6">
            <w:pPr>
              <w:rPr>
                <w:rFonts w:ascii="Times New Roman" w:hAnsi="Times New Roman" w:cs="Times New Roman"/>
                <w:sz w:val="18"/>
                <w:szCs w:val="18"/>
              </w:rPr>
            </w:pPr>
          </w:p>
        </w:tc>
        <w:tc>
          <w:tcPr>
            <w:tcW w:w="3008" w:type="pct"/>
          </w:tcPr>
          <w:p w14:paraId="75B8B083" w14:textId="77777777" w:rsidR="000F3724" w:rsidRPr="0003509A" w:rsidRDefault="000F3724" w:rsidP="00B85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62" w:type="pct"/>
          </w:tcPr>
          <w:p w14:paraId="49588906" w14:textId="77777777" w:rsidR="000F3724" w:rsidRPr="0003509A" w:rsidRDefault="000F3724" w:rsidP="007E71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pl-PL"/>
              </w:rPr>
            </w:pPr>
          </w:p>
        </w:tc>
      </w:tr>
    </w:tbl>
    <w:p w14:paraId="154D66A8" w14:textId="77777777" w:rsidR="004840BF" w:rsidRPr="0003509A" w:rsidRDefault="004840BF" w:rsidP="004840BF">
      <w:pPr>
        <w:pStyle w:val="Akapitzlist"/>
        <w:spacing w:after="0" w:line="240" w:lineRule="auto"/>
        <w:ind w:left="0"/>
        <w:jc w:val="both"/>
        <w:rPr>
          <w:rFonts w:ascii="Times New Roman" w:hAnsi="Times New Roman" w:cs="Times New Roman"/>
          <w:i/>
          <w:sz w:val="18"/>
          <w:szCs w:val="18"/>
        </w:rPr>
      </w:pPr>
      <w:r w:rsidRPr="0003509A">
        <w:rPr>
          <w:rFonts w:ascii="Times New Roman" w:hAnsi="Times New Roman" w:cs="Times New Roman"/>
          <w:sz w:val="18"/>
          <w:szCs w:val="18"/>
        </w:rPr>
        <w:t xml:space="preserve">*) </w:t>
      </w:r>
      <w:r w:rsidRPr="0003509A">
        <w:rPr>
          <w:rFonts w:ascii="Times New Roman" w:hAnsi="Times New Roman" w:cs="Times New Roman"/>
          <w:i/>
          <w:sz w:val="18"/>
          <w:szCs w:val="18"/>
        </w:rPr>
        <w:t xml:space="preserve">numeracja zgodna z </w:t>
      </w:r>
      <w:r w:rsidR="004A266D" w:rsidRPr="0003509A">
        <w:rPr>
          <w:rFonts w:ascii="Times New Roman" w:hAnsi="Times New Roman" w:cs="Times New Roman"/>
          <w:i/>
          <w:sz w:val="18"/>
          <w:szCs w:val="18"/>
        </w:rPr>
        <w:t>Rozporządzeniem wykonawczym Komisji (UE) nr 1423/2013 z dnia 20 grudnia 2013 r. ustanawiającym wykonawcze standardy techniczne w zakresie wymogów dotyczących ujawniania informacji na temat funduszy własnych instytucji</w:t>
      </w:r>
    </w:p>
    <w:p w14:paraId="5567F4BA" w14:textId="77777777" w:rsidR="004A266D" w:rsidRPr="0003509A" w:rsidRDefault="004A266D" w:rsidP="004840BF">
      <w:pPr>
        <w:pStyle w:val="Akapitzlist"/>
        <w:spacing w:after="0" w:line="240" w:lineRule="auto"/>
        <w:ind w:left="0"/>
        <w:jc w:val="both"/>
        <w:rPr>
          <w:rFonts w:ascii="Times New Roman" w:hAnsi="Times New Roman" w:cs="Times New Roman"/>
          <w:sz w:val="24"/>
          <w:szCs w:val="24"/>
        </w:rPr>
      </w:pPr>
    </w:p>
    <w:p w14:paraId="1024582B" w14:textId="77777777" w:rsidR="00D3570E" w:rsidRPr="0003509A" w:rsidRDefault="009F49B8" w:rsidP="00607ED4">
      <w:pPr>
        <w:pStyle w:val="Akapitzlist"/>
        <w:numPr>
          <w:ilvl w:val="6"/>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426"/>
        </w:tabs>
        <w:spacing w:after="0" w:line="240" w:lineRule="auto"/>
        <w:ind w:left="426" w:hanging="426"/>
        <w:jc w:val="both"/>
        <w:rPr>
          <w:rFonts w:ascii="Times New Roman" w:hAnsi="Times New Roman" w:cs="Times New Roman"/>
          <w:b/>
          <w:sz w:val="24"/>
          <w:szCs w:val="24"/>
        </w:rPr>
      </w:pPr>
      <w:r w:rsidRPr="0003509A">
        <w:rPr>
          <w:rFonts w:ascii="Times New Roman" w:hAnsi="Times New Roman" w:cs="Times New Roman"/>
          <w:b/>
          <w:sz w:val="24"/>
          <w:szCs w:val="24"/>
        </w:rPr>
        <w:t xml:space="preserve">Ogólny opis cech </w:t>
      </w:r>
      <w:r w:rsidR="00EC2D73" w:rsidRPr="0003509A">
        <w:rPr>
          <w:rFonts w:ascii="Times New Roman" w:hAnsi="Times New Roman" w:cs="Times New Roman"/>
          <w:b/>
          <w:sz w:val="24"/>
          <w:szCs w:val="24"/>
        </w:rPr>
        <w:t>instrumentów w kapitale podstawowym Tier I</w:t>
      </w:r>
    </w:p>
    <w:p w14:paraId="734B57D5" w14:textId="77777777" w:rsidR="00E40620" w:rsidRPr="00ED417D" w:rsidRDefault="00E40620" w:rsidP="00E40620">
      <w:pPr>
        <w:autoSpaceDE w:val="0"/>
        <w:autoSpaceDN w:val="0"/>
        <w:adjustRightInd w:val="0"/>
        <w:spacing w:after="0" w:line="240" w:lineRule="auto"/>
        <w:rPr>
          <w:rFonts w:ascii="Tahoma" w:hAnsi="Tahoma" w:cs="Tahoma"/>
          <w:color w:val="FF0000"/>
          <w:sz w:val="24"/>
          <w:szCs w:val="24"/>
        </w:rPr>
      </w:pPr>
    </w:p>
    <w:p w14:paraId="0792F887" w14:textId="0A841ED8" w:rsidR="00B2166E" w:rsidRPr="000F3724" w:rsidRDefault="00B2166E" w:rsidP="00B2166E">
      <w:pPr>
        <w:widowControl w:val="0"/>
        <w:numPr>
          <w:ilvl w:val="0"/>
          <w:numId w:val="60"/>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 xml:space="preserve">Fundusze własne – wyliczane na podstawie Rozporządzenia Parlamentu Europejskiego </w:t>
      </w:r>
      <w:r w:rsidRPr="000F3724">
        <w:rPr>
          <w:rFonts w:ascii="Times New Roman" w:eastAsia="Times New Roman" w:hAnsi="Times New Roman" w:cs="Times New Roman"/>
          <w:sz w:val="24"/>
          <w:szCs w:val="24"/>
          <w:lang w:eastAsia="pl-PL"/>
        </w:rPr>
        <w:br/>
        <w:t>i Rady (UE) nr 575/2013 obejmują sumę następujących elementów:</w:t>
      </w:r>
    </w:p>
    <w:p w14:paraId="2C550E8A" w14:textId="09A009DB" w:rsidR="00B2166E" w:rsidRPr="000F3724" w:rsidRDefault="00B2166E" w:rsidP="00B2166E">
      <w:pPr>
        <w:widowControl w:val="0"/>
        <w:numPr>
          <w:ilvl w:val="0"/>
          <w:numId w:val="61"/>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Kapitał Tier I,</w:t>
      </w:r>
    </w:p>
    <w:p w14:paraId="561B8026" w14:textId="5BA6D1AD" w:rsidR="00B2166E" w:rsidRPr="000F3724" w:rsidRDefault="00B2166E" w:rsidP="00B2166E">
      <w:pPr>
        <w:widowControl w:val="0"/>
        <w:numPr>
          <w:ilvl w:val="0"/>
          <w:numId w:val="61"/>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Kapitał Tier II.</w:t>
      </w:r>
    </w:p>
    <w:p w14:paraId="78101E99" w14:textId="77777777" w:rsidR="00B2166E" w:rsidRPr="000F3724" w:rsidRDefault="00B2166E" w:rsidP="00B2166E">
      <w:pPr>
        <w:widowControl w:val="0"/>
        <w:numPr>
          <w:ilvl w:val="0"/>
          <w:numId w:val="60"/>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 xml:space="preserve">Uznany kapitał – suma kapitału Tier I i kapitału Tier II Banku, przy czym kapitał Tier II jest mniejszy lub równy 1/3 kapitału Tier I; </w:t>
      </w:r>
    </w:p>
    <w:p w14:paraId="1D72C9E5" w14:textId="77777777" w:rsidR="00B2166E" w:rsidRPr="000F3724" w:rsidRDefault="00B2166E" w:rsidP="00B2166E">
      <w:pPr>
        <w:widowControl w:val="0"/>
        <w:numPr>
          <w:ilvl w:val="0"/>
          <w:numId w:val="60"/>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Kapitał Tier I Banku to suma kapitału podstawowego Tier I (CET 1) i kapitału dodatkowego Tier I (AT 1);</w:t>
      </w:r>
    </w:p>
    <w:p w14:paraId="57B828D6" w14:textId="77777777" w:rsidR="00B2166E" w:rsidRPr="000F3724" w:rsidRDefault="00B2166E" w:rsidP="00B2166E">
      <w:pPr>
        <w:widowControl w:val="0"/>
        <w:numPr>
          <w:ilvl w:val="0"/>
          <w:numId w:val="60"/>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Kapitał podstawowy Tier I (CET 1) składa się z następujących pozycji z zastosowaniem wyłączeń, korekt i opcji alternatywnych o których mowa w Rozporządzeniu UE:</w:t>
      </w:r>
    </w:p>
    <w:p w14:paraId="4F0380FE"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funduszu udziałowego z zastrzeżeniem lit. e);</w:t>
      </w:r>
    </w:p>
    <w:p w14:paraId="547875A7"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ażio emisyjnego związanego z instrumentami określonymi w pkt a);</w:t>
      </w:r>
    </w:p>
    <w:p w14:paraId="2C46584B"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funduszu zasobowego;</w:t>
      </w:r>
    </w:p>
    <w:p w14:paraId="21B5F9CF"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zysku zatrzymanego;</w:t>
      </w:r>
    </w:p>
    <w:p w14:paraId="5D3D3564"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skumulowanych innych całkowitych dochodów;</w:t>
      </w:r>
    </w:p>
    <w:p w14:paraId="10362A34"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kapitału rezerwowego;</w:t>
      </w:r>
    </w:p>
    <w:p w14:paraId="08FDBD73"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funduszu ogólnego ryzyka bankowego;</w:t>
      </w:r>
    </w:p>
    <w:p w14:paraId="09598CDE"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niezrealizowanych zysków i strat z tytułu posiadanych aktywów lub zobowiązań wycenionych do wartości godziwej w tym fundusz z aktualizacji wyceny majątku trwałego),</w:t>
      </w:r>
    </w:p>
    <w:p w14:paraId="4B7DDAF1" w14:textId="77777777" w:rsidR="00B2166E" w:rsidRPr="000F3724" w:rsidRDefault="00B2166E" w:rsidP="00B2166E">
      <w:pPr>
        <w:widowControl w:val="0"/>
        <w:numPr>
          <w:ilvl w:val="0"/>
          <w:numId w:val="62"/>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odliczeń do pozycji kapitału podstawowego Tier I, w tym:</w:t>
      </w:r>
    </w:p>
    <w:p w14:paraId="36453587"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strat za bieżący rok obrachunkowy,</w:t>
      </w:r>
    </w:p>
    <w:p w14:paraId="18235E0D"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lastRenderedPageBreak/>
        <w:t>wartości niematerialnych i prawnych,</w:t>
      </w:r>
    </w:p>
    <w:p w14:paraId="1FDBE2AE"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aktywa z tytułu odroczonego podatku dochodowego opartego na przyszłej rentowności,</w:t>
      </w:r>
    </w:p>
    <w:p w14:paraId="5193EB67"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aktywa z tytułu odroczonego podatku dochodowego opartych na przyszłej rentowności i wynikających z różnic przejściowych, jeżeli ich wartość przekracza określone limity,</w:t>
      </w:r>
    </w:p>
    <w:p w14:paraId="32BA9F1E"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posiadanych własnych instrumentów kapitałowych,</w:t>
      </w:r>
    </w:p>
    <w:p w14:paraId="3C770D6D"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podstawowym Tier I podmiotów sektora finansowego, jeżeli podmioty te mają z Bankiem krzyżowe powiązanie kapitałowe,</w:t>
      </w:r>
    </w:p>
    <w:p w14:paraId="3E4AEC09"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podstawowym Tier I podmiotów sektora finansowego, jeżeli Bank dokonał znacznej inwestycji w te podmioty,</w:t>
      </w:r>
    </w:p>
    <w:p w14:paraId="5B4DDC26"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podstawowym Tier I podmiotów sektora finansowego, jeżeli Bank nie dokonał znacznej inwestycji w te podmioty i wartość tych udziałów przekracza określone limity,</w:t>
      </w:r>
    </w:p>
    <w:p w14:paraId="55039790" w14:textId="77777777" w:rsidR="00B2166E" w:rsidRPr="000F3724" w:rsidRDefault="00B2166E" w:rsidP="00B2166E">
      <w:pPr>
        <w:widowControl w:val="0"/>
        <w:numPr>
          <w:ilvl w:val="0"/>
          <w:numId w:val="63"/>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kwotę ekspozycji znacznych pakietów akcji poza sektorem finansowym oraz pozycji sekurytyzacyjnych, jeżeli ich wartość przekracza ustalone limity (alternatywne wobec kwoty tych ekspozycji może zostać zastosowana waga ryzyka 1 250%);</w:t>
      </w:r>
    </w:p>
    <w:p w14:paraId="05DA4F86" w14:textId="77777777" w:rsidR="00B2166E" w:rsidRPr="000F3724" w:rsidRDefault="00B2166E" w:rsidP="00B2166E">
      <w:pPr>
        <w:widowControl w:val="0"/>
        <w:numPr>
          <w:ilvl w:val="0"/>
          <w:numId w:val="60"/>
        </w:numPr>
        <w:tabs>
          <w:tab w:val="left" w:pos="284"/>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 xml:space="preserve">Na kapitał dodatkowy Tier I (AT 1) składają  się następujące elementów: </w:t>
      </w:r>
    </w:p>
    <w:p w14:paraId="232983D9" w14:textId="77777777" w:rsidR="00B2166E" w:rsidRPr="000F3724" w:rsidRDefault="00B2166E" w:rsidP="00B2166E">
      <w:pPr>
        <w:widowControl w:val="0"/>
        <w:numPr>
          <w:ilvl w:val="0"/>
          <w:numId w:val="64"/>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instrumenty kapitałowe nie spełniające warunków określonych dla instrumentów kapitału podstawowego Tier I lub Tier II;</w:t>
      </w:r>
    </w:p>
    <w:p w14:paraId="0AB3F034" w14:textId="77777777" w:rsidR="00B2166E" w:rsidRPr="000F3724" w:rsidRDefault="00B2166E" w:rsidP="000F3724">
      <w:pPr>
        <w:widowControl w:val="0"/>
        <w:numPr>
          <w:ilvl w:val="0"/>
          <w:numId w:val="64"/>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ażio emisyjne związane z instrumentami określonymi w pkt.1;</w:t>
      </w:r>
    </w:p>
    <w:p w14:paraId="3412C299" w14:textId="77777777" w:rsidR="00B2166E" w:rsidRPr="000F3724" w:rsidRDefault="00B2166E" w:rsidP="000F3724">
      <w:pPr>
        <w:widowControl w:val="0"/>
        <w:numPr>
          <w:ilvl w:val="0"/>
          <w:numId w:val="64"/>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odliczenia od pozycji kapitału Tier I, w tym:</w:t>
      </w:r>
    </w:p>
    <w:p w14:paraId="4EC03AE7" w14:textId="77777777" w:rsidR="00B2166E" w:rsidRPr="000F3724" w:rsidRDefault="00B2166E" w:rsidP="00B2166E">
      <w:pPr>
        <w:widowControl w:val="0"/>
        <w:numPr>
          <w:ilvl w:val="0"/>
          <w:numId w:val="65"/>
        </w:numPr>
        <w:tabs>
          <w:tab w:val="left" w:pos="284"/>
        </w:tabs>
        <w:suppressAutoHyphens/>
        <w:autoSpaceDE w:val="0"/>
        <w:autoSpaceDN w:val="0"/>
        <w:adjustRightInd w:val="0"/>
        <w:spacing w:after="0" w:line="240" w:lineRule="auto"/>
        <w:ind w:hanging="436"/>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dodatkowym Tier I podmiotów sektora finansowego, jeżeli podmioty te mają z Bankiem krzyżowe powiązania kapitałowe,</w:t>
      </w:r>
    </w:p>
    <w:p w14:paraId="3FA08928" w14:textId="77777777" w:rsidR="00B2166E" w:rsidRPr="000F3724" w:rsidRDefault="00B2166E" w:rsidP="00B2166E">
      <w:pPr>
        <w:widowControl w:val="0"/>
        <w:numPr>
          <w:ilvl w:val="0"/>
          <w:numId w:val="65"/>
        </w:numPr>
        <w:tabs>
          <w:tab w:val="left" w:pos="284"/>
        </w:tabs>
        <w:suppressAutoHyphens/>
        <w:autoSpaceDE w:val="0"/>
        <w:autoSpaceDN w:val="0"/>
        <w:adjustRightInd w:val="0"/>
        <w:spacing w:after="0" w:line="240" w:lineRule="auto"/>
        <w:ind w:hanging="436"/>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dodatkowym Tier I podmiotów sektora finansowego, jeżeli Bank dokonał znacznej inwestycji w te podmioty,</w:t>
      </w:r>
    </w:p>
    <w:p w14:paraId="0CBAAA30" w14:textId="77777777" w:rsidR="00B2166E" w:rsidRPr="000F3724" w:rsidRDefault="00B2166E" w:rsidP="00B2166E">
      <w:pPr>
        <w:widowControl w:val="0"/>
        <w:numPr>
          <w:ilvl w:val="0"/>
          <w:numId w:val="65"/>
        </w:numPr>
        <w:tabs>
          <w:tab w:val="left" w:pos="284"/>
        </w:tabs>
        <w:suppressAutoHyphens/>
        <w:autoSpaceDE w:val="0"/>
        <w:autoSpaceDN w:val="0"/>
        <w:adjustRightInd w:val="0"/>
        <w:spacing w:after="0" w:line="240" w:lineRule="auto"/>
        <w:ind w:hanging="436"/>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dodatkowym Tier I podmiotów sektora finansowego, jeżeli Bank nie dokonał znacznej inwestycji w te podmioty i wartość tych udziałów przekracza określone limity.</w:t>
      </w:r>
    </w:p>
    <w:p w14:paraId="701FA111" w14:textId="3113F4EC" w:rsidR="00B2166E" w:rsidRPr="000F3724" w:rsidRDefault="00BE3FC8" w:rsidP="00B2166E">
      <w:pPr>
        <w:widowControl w:val="0"/>
        <w:numPr>
          <w:ilvl w:val="0"/>
          <w:numId w:val="60"/>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Na k</w:t>
      </w:r>
      <w:r w:rsidR="00B2166E" w:rsidRPr="000F3724">
        <w:rPr>
          <w:rFonts w:ascii="Times New Roman" w:eastAsia="Times New Roman" w:hAnsi="Times New Roman" w:cs="Times New Roman"/>
          <w:sz w:val="24"/>
          <w:szCs w:val="24"/>
          <w:lang w:eastAsia="pl-PL"/>
        </w:rPr>
        <w:t>apitał Tier II składają się następujące elementy:</w:t>
      </w:r>
    </w:p>
    <w:p w14:paraId="0872FAC5" w14:textId="77777777" w:rsidR="00B2166E" w:rsidRPr="000F3724" w:rsidRDefault="00B2166E" w:rsidP="00B2166E">
      <w:pPr>
        <w:widowControl w:val="0"/>
        <w:numPr>
          <w:ilvl w:val="0"/>
          <w:numId w:val="66"/>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instrumenty kapitałowe nie spełniające warunków określonych dla instrumentów kapitału Tier I oraz pożyczki podporządkowanej,</w:t>
      </w:r>
    </w:p>
    <w:p w14:paraId="3E0B1921" w14:textId="77777777" w:rsidR="00B2166E" w:rsidRPr="000F3724" w:rsidRDefault="00B2166E" w:rsidP="00B2166E">
      <w:pPr>
        <w:widowControl w:val="0"/>
        <w:numPr>
          <w:ilvl w:val="0"/>
          <w:numId w:val="66"/>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ażio emisyjne związane z instrumentami określonymi w pkt. 1;</w:t>
      </w:r>
    </w:p>
    <w:p w14:paraId="4ACFDE5B" w14:textId="77777777" w:rsidR="00B2166E" w:rsidRPr="000F3724" w:rsidRDefault="00B2166E" w:rsidP="00B2166E">
      <w:pPr>
        <w:widowControl w:val="0"/>
        <w:numPr>
          <w:ilvl w:val="0"/>
          <w:numId w:val="66"/>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korekty z tytułu ogólnego ryzyka kredytowego przed skutkami podatkowymi w maksymalnej wysokości do 1,25% kwot ekspozycji ważonych ryzykiem;</w:t>
      </w:r>
    </w:p>
    <w:p w14:paraId="23921AF5" w14:textId="77777777" w:rsidR="00B2166E" w:rsidRPr="000F3724" w:rsidRDefault="00B2166E" w:rsidP="00B2166E">
      <w:pPr>
        <w:widowControl w:val="0"/>
        <w:numPr>
          <w:ilvl w:val="0"/>
          <w:numId w:val="66"/>
        </w:numPr>
        <w:tabs>
          <w:tab w:val="left" w:pos="284"/>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odliczenia do pozycji kapitału Tier II, w tym:</w:t>
      </w:r>
    </w:p>
    <w:p w14:paraId="3720F0F0" w14:textId="77777777" w:rsidR="00B2166E" w:rsidRPr="000F3724" w:rsidRDefault="00B2166E" w:rsidP="00B2166E">
      <w:pPr>
        <w:widowControl w:val="0"/>
        <w:numPr>
          <w:ilvl w:val="0"/>
          <w:numId w:val="67"/>
        </w:numPr>
        <w:tabs>
          <w:tab w:val="left" w:pos="284"/>
        </w:tabs>
        <w:suppressAutoHyphens/>
        <w:autoSpaceDE w:val="0"/>
        <w:autoSpaceDN w:val="0"/>
        <w:adjustRightInd w:val="0"/>
        <w:spacing w:after="0" w:line="240" w:lineRule="auto"/>
        <w:ind w:left="1418" w:hanging="567"/>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Tier II podmiotów sektora finansowego, jeżeli podmioty te mają z Bankiem krzyżowe powiązanie kapitałowe,</w:t>
      </w:r>
    </w:p>
    <w:p w14:paraId="05C7E90E" w14:textId="77777777" w:rsidR="00B2166E" w:rsidRPr="000F3724" w:rsidRDefault="00B2166E" w:rsidP="00B2166E">
      <w:pPr>
        <w:widowControl w:val="0"/>
        <w:numPr>
          <w:ilvl w:val="0"/>
          <w:numId w:val="67"/>
        </w:numPr>
        <w:tabs>
          <w:tab w:val="left" w:pos="284"/>
        </w:tabs>
        <w:suppressAutoHyphens/>
        <w:autoSpaceDE w:val="0"/>
        <w:autoSpaceDN w:val="0"/>
        <w:adjustRightInd w:val="0"/>
        <w:spacing w:after="0" w:line="240" w:lineRule="auto"/>
        <w:ind w:left="1418" w:hanging="567"/>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Tier II podmiotów sektora finansowego, jeżeli Bank dokonał znacznej inwestycji w te podmioty,</w:t>
      </w:r>
    </w:p>
    <w:p w14:paraId="61446499" w14:textId="77777777" w:rsidR="00B2166E" w:rsidRPr="000F3724" w:rsidRDefault="00B2166E" w:rsidP="00B2166E">
      <w:pPr>
        <w:widowControl w:val="0"/>
        <w:numPr>
          <w:ilvl w:val="0"/>
          <w:numId w:val="67"/>
        </w:numPr>
        <w:tabs>
          <w:tab w:val="left" w:pos="284"/>
        </w:tabs>
        <w:suppressAutoHyphens/>
        <w:autoSpaceDE w:val="0"/>
        <w:autoSpaceDN w:val="0"/>
        <w:adjustRightInd w:val="0"/>
        <w:spacing w:after="0" w:line="240" w:lineRule="auto"/>
        <w:ind w:left="1418" w:hanging="567"/>
        <w:jc w:val="both"/>
        <w:rPr>
          <w:rFonts w:ascii="Times New Roman" w:eastAsia="Times New Roman" w:hAnsi="Times New Roman" w:cs="Times New Roman"/>
          <w:sz w:val="24"/>
          <w:szCs w:val="24"/>
          <w:lang w:eastAsia="pl-PL"/>
        </w:rPr>
      </w:pPr>
      <w:r w:rsidRPr="000F3724">
        <w:rPr>
          <w:rFonts w:ascii="Times New Roman" w:eastAsia="Times New Roman" w:hAnsi="Times New Roman" w:cs="Times New Roman"/>
          <w:sz w:val="24"/>
          <w:szCs w:val="24"/>
          <w:lang w:eastAsia="pl-PL"/>
        </w:rPr>
        <w:t>udziały kapitałowe w kapitale Tier II podmiotów sektora finansowego, jeżeli Bank nie dokonał znacznej inwestycji w te podmioty i wartość tych udziałów przekracza określone limity.</w:t>
      </w:r>
    </w:p>
    <w:p w14:paraId="5870DDE0" w14:textId="7CFCB077" w:rsidR="00B2166E" w:rsidRPr="00B73A16" w:rsidRDefault="00B2166E" w:rsidP="00E40620">
      <w:pPr>
        <w:autoSpaceDE w:val="0"/>
        <w:autoSpaceDN w:val="0"/>
        <w:adjustRightInd w:val="0"/>
        <w:spacing w:after="0" w:line="240" w:lineRule="auto"/>
        <w:rPr>
          <w:rFonts w:ascii="Times New Roman" w:hAnsi="Times New Roman" w:cs="Times New Roman"/>
          <w:sz w:val="24"/>
          <w:szCs w:val="24"/>
        </w:rPr>
      </w:pPr>
    </w:p>
    <w:p w14:paraId="593EECBD" w14:textId="77777777" w:rsidR="00D3570E" w:rsidRPr="00B73A16" w:rsidRDefault="006C4E4B" w:rsidP="00607ED4">
      <w:pPr>
        <w:pStyle w:val="Akapitzlist"/>
        <w:numPr>
          <w:ilvl w:val="6"/>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426"/>
        </w:tabs>
        <w:spacing w:after="0" w:line="240" w:lineRule="auto"/>
        <w:ind w:left="426" w:hanging="426"/>
        <w:jc w:val="both"/>
        <w:rPr>
          <w:rFonts w:ascii="Times New Roman" w:hAnsi="Times New Roman" w:cs="Times New Roman"/>
          <w:b/>
          <w:sz w:val="24"/>
          <w:szCs w:val="24"/>
        </w:rPr>
      </w:pPr>
      <w:r w:rsidRPr="00B73A16">
        <w:rPr>
          <w:rFonts w:ascii="Times New Roman" w:hAnsi="Times New Roman" w:cs="Times New Roman"/>
          <w:b/>
          <w:sz w:val="24"/>
          <w:szCs w:val="24"/>
        </w:rPr>
        <w:t xml:space="preserve">Informacja w zakresie instrumentów kapitałowych zaliczanych do </w:t>
      </w:r>
      <w:r w:rsidR="00D3570E" w:rsidRPr="00B73A16">
        <w:rPr>
          <w:rFonts w:ascii="Times New Roman" w:hAnsi="Times New Roman" w:cs="Times New Roman"/>
          <w:b/>
          <w:sz w:val="24"/>
          <w:szCs w:val="24"/>
        </w:rPr>
        <w:t xml:space="preserve">kapitału dodatkowego Tier i </w:t>
      </w:r>
      <w:r w:rsidR="00EC2D73" w:rsidRPr="00B73A16">
        <w:rPr>
          <w:rFonts w:ascii="Times New Roman" w:hAnsi="Times New Roman" w:cs="Times New Roman"/>
          <w:b/>
          <w:sz w:val="24"/>
          <w:szCs w:val="24"/>
        </w:rPr>
        <w:t>kapitału Tier II</w:t>
      </w:r>
      <w:r w:rsidRPr="00B73A16">
        <w:rPr>
          <w:rFonts w:ascii="Times New Roman" w:hAnsi="Times New Roman" w:cs="Times New Roman"/>
          <w:b/>
          <w:sz w:val="24"/>
          <w:szCs w:val="24"/>
        </w:rPr>
        <w:t xml:space="preserve"> zgodnie z poniższym wzorem</w:t>
      </w:r>
    </w:p>
    <w:p w14:paraId="4E417DA8" w14:textId="77777777" w:rsidR="00E40620" w:rsidRPr="00B73A16" w:rsidRDefault="00E40620" w:rsidP="00D3570E">
      <w:pPr>
        <w:spacing w:after="0" w:line="240" w:lineRule="auto"/>
        <w:ind w:left="360"/>
        <w:jc w:val="both"/>
        <w:rPr>
          <w:rFonts w:ascii="Times New Roman" w:hAnsi="Times New Roman" w:cs="Times New Roman"/>
          <w:sz w:val="24"/>
          <w:szCs w:val="24"/>
        </w:rPr>
      </w:pPr>
    </w:p>
    <w:p w14:paraId="50E2D76C" w14:textId="238F5F23" w:rsidR="00E40620" w:rsidRPr="00B73A16" w:rsidRDefault="00E40620" w:rsidP="00E40620">
      <w:pPr>
        <w:spacing w:after="0" w:line="240" w:lineRule="auto"/>
        <w:jc w:val="both"/>
        <w:rPr>
          <w:rFonts w:ascii="Times New Roman" w:eastAsia="Times New Roman" w:hAnsi="Times New Roman" w:cs="Times New Roman"/>
          <w:i/>
          <w:sz w:val="24"/>
          <w:szCs w:val="24"/>
          <w:lang w:eastAsia="pl-PL"/>
        </w:rPr>
      </w:pPr>
      <w:r w:rsidRPr="00B73A16">
        <w:rPr>
          <w:rFonts w:ascii="Times New Roman" w:hAnsi="Times New Roman" w:cs="Times New Roman"/>
          <w:sz w:val="24"/>
          <w:szCs w:val="24"/>
        </w:rPr>
        <w:t>Bank nie posiada instrumentów kapitałowych w kapitale podstawowym Tier I, instrumentów dodatkowych w kapitale Tier I i instrumentów kapitałowych w kapitale Tier II.</w:t>
      </w:r>
    </w:p>
    <w:p w14:paraId="28C4B332" w14:textId="77777777" w:rsidR="00E40620" w:rsidRPr="00B73A16" w:rsidRDefault="00E40620" w:rsidP="00E40620">
      <w:pPr>
        <w:spacing w:after="0" w:line="240" w:lineRule="auto"/>
        <w:jc w:val="both"/>
        <w:rPr>
          <w:rFonts w:ascii="Times New Roman" w:eastAsia="Times New Roman" w:hAnsi="Times New Roman" w:cs="Times New Roman"/>
          <w:i/>
          <w:sz w:val="24"/>
          <w:szCs w:val="24"/>
          <w:lang w:eastAsia="pl-PL"/>
        </w:rPr>
      </w:pPr>
    </w:p>
    <w:p w14:paraId="1D45CD90" w14:textId="77777777" w:rsidR="007E3B16" w:rsidRPr="00B73A16" w:rsidRDefault="00040466"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B73A16">
        <w:rPr>
          <w:rFonts w:ascii="Century" w:hAnsi="Century" w:cs="Times New Roman"/>
          <w:b/>
          <w:sz w:val="24"/>
          <w:szCs w:val="24"/>
        </w:rPr>
        <w:t>Wymogi kapitałowe</w:t>
      </w:r>
    </w:p>
    <w:p w14:paraId="59100485" w14:textId="77777777" w:rsidR="00B2166E" w:rsidRPr="00B73A16" w:rsidRDefault="00B2166E" w:rsidP="00236DB6">
      <w:pPr>
        <w:spacing w:after="0" w:line="240" w:lineRule="auto"/>
        <w:jc w:val="both"/>
        <w:rPr>
          <w:rFonts w:ascii="Times New Roman" w:hAnsi="Times New Roman" w:cs="Times New Roman"/>
          <w:sz w:val="24"/>
          <w:szCs w:val="24"/>
        </w:rPr>
      </w:pPr>
    </w:p>
    <w:p w14:paraId="047DD4FD" w14:textId="77777777" w:rsidR="002E0A67" w:rsidRPr="00B73A16" w:rsidRDefault="00CC0236" w:rsidP="000C62C3">
      <w:pPr>
        <w:pStyle w:val="Akapitzlist"/>
        <w:numPr>
          <w:ilvl w:val="6"/>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B73A16">
        <w:rPr>
          <w:rFonts w:ascii="Times New Roman" w:hAnsi="Times New Roman" w:cs="Times New Roman"/>
          <w:b/>
          <w:bCs/>
          <w:sz w:val="24"/>
          <w:szCs w:val="24"/>
        </w:rPr>
        <w:t>Metoda szacowania kapitału wewnętrznego oraz przyjęty przez Bank poziom adekwatności kapitałowej</w:t>
      </w:r>
    </w:p>
    <w:p w14:paraId="6A60ABB9" w14:textId="77777777" w:rsidR="000F33A6" w:rsidRPr="00ED417D" w:rsidRDefault="000F33A6" w:rsidP="00110A62">
      <w:pPr>
        <w:spacing w:after="0" w:line="240" w:lineRule="auto"/>
        <w:jc w:val="both"/>
        <w:rPr>
          <w:rFonts w:ascii="Times New Roman" w:hAnsi="Times New Roman" w:cs="Times New Roman"/>
          <w:color w:val="FF0000"/>
          <w:sz w:val="24"/>
          <w:szCs w:val="24"/>
        </w:rPr>
      </w:pPr>
    </w:p>
    <w:p w14:paraId="19A8D2CB" w14:textId="77777777" w:rsidR="002B3271" w:rsidRPr="00DD4DFA" w:rsidRDefault="002B3271" w:rsidP="00110A62">
      <w:pPr>
        <w:spacing w:after="0" w:line="240" w:lineRule="auto"/>
        <w:jc w:val="both"/>
        <w:rPr>
          <w:rFonts w:ascii="Times New Roman" w:hAnsi="Times New Roman" w:cs="Times New Roman"/>
          <w:sz w:val="24"/>
          <w:szCs w:val="24"/>
        </w:rPr>
      </w:pPr>
      <w:r w:rsidRPr="00DD4DFA">
        <w:rPr>
          <w:rFonts w:ascii="Times New Roman" w:hAnsi="Times New Roman" w:cs="Times New Roman"/>
          <w:sz w:val="24"/>
          <w:szCs w:val="24"/>
        </w:rPr>
        <w:t>Bank wyznacza kapitał wewnętr</w:t>
      </w:r>
      <w:r w:rsidR="00146705" w:rsidRPr="00DD4DFA">
        <w:rPr>
          <w:rFonts w:ascii="Times New Roman" w:hAnsi="Times New Roman" w:cs="Times New Roman"/>
          <w:sz w:val="24"/>
          <w:szCs w:val="24"/>
        </w:rPr>
        <w:t>z</w:t>
      </w:r>
      <w:r w:rsidRPr="00DD4DFA">
        <w:rPr>
          <w:rFonts w:ascii="Times New Roman" w:hAnsi="Times New Roman" w:cs="Times New Roman"/>
          <w:sz w:val="24"/>
          <w:szCs w:val="24"/>
        </w:rPr>
        <w:t>ny na wszystkie zidentyfikowane ryzyka istotne dla Banku, które nie zostały objęte wyznaczaniem kapitału regulacyjnego lub w ocenie Banku kapitał</w:t>
      </w:r>
      <w:r w:rsidR="00146705" w:rsidRPr="00DD4DFA">
        <w:rPr>
          <w:rFonts w:ascii="Times New Roman" w:hAnsi="Times New Roman" w:cs="Times New Roman"/>
          <w:sz w:val="24"/>
          <w:szCs w:val="24"/>
        </w:rPr>
        <w:t xml:space="preserve"> ten nie w pełni pokrywa ryzyko.</w:t>
      </w:r>
    </w:p>
    <w:p w14:paraId="7CAB6F83" w14:textId="77777777" w:rsidR="00146705" w:rsidRPr="00DD4DFA" w:rsidRDefault="00146705" w:rsidP="00110A62">
      <w:pPr>
        <w:spacing w:after="0" w:line="240" w:lineRule="auto"/>
        <w:jc w:val="both"/>
        <w:rPr>
          <w:rFonts w:ascii="Times New Roman" w:hAnsi="Times New Roman" w:cs="Times New Roman"/>
          <w:sz w:val="24"/>
          <w:szCs w:val="24"/>
        </w:rPr>
      </w:pPr>
    </w:p>
    <w:p w14:paraId="57E1F684" w14:textId="77777777" w:rsidR="00146705" w:rsidRPr="00DD4DFA" w:rsidRDefault="00146705" w:rsidP="00110A62">
      <w:pPr>
        <w:spacing w:after="0" w:line="240" w:lineRule="auto"/>
        <w:jc w:val="both"/>
        <w:rPr>
          <w:rFonts w:ascii="Times New Roman" w:hAnsi="Times New Roman" w:cs="Times New Roman"/>
          <w:sz w:val="24"/>
          <w:szCs w:val="24"/>
        </w:rPr>
      </w:pPr>
      <w:r w:rsidRPr="00DD4DFA">
        <w:rPr>
          <w:rFonts w:ascii="Times New Roman" w:hAnsi="Times New Roman" w:cs="Times New Roman"/>
          <w:sz w:val="24"/>
          <w:szCs w:val="24"/>
        </w:rPr>
        <w:t>W procesie szacowania kapitału wewnętrznego wykorzystywane są efekty pomiaru ryzyka, dokonywanego w oparciu o obowiązujące procedury w zakresie zarządzania poszczególnymi rodzajami ryzyka.</w:t>
      </w:r>
    </w:p>
    <w:p w14:paraId="12BAFE99" w14:textId="77777777" w:rsidR="00146705" w:rsidRPr="00DD4DFA" w:rsidRDefault="00146705" w:rsidP="00110A62">
      <w:pPr>
        <w:spacing w:after="0" w:line="240" w:lineRule="auto"/>
        <w:jc w:val="both"/>
        <w:rPr>
          <w:rFonts w:ascii="Times New Roman" w:hAnsi="Times New Roman" w:cs="Times New Roman"/>
          <w:sz w:val="24"/>
          <w:szCs w:val="24"/>
        </w:rPr>
      </w:pPr>
    </w:p>
    <w:p w14:paraId="2AC5E27D" w14:textId="77777777" w:rsidR="00457A0B" w:rsidRPr="00DD4DFA" w:rsidRDefault="00457A0B" w:rsidP="00110A62">
      <w:pPr>
        <w:spacing w:after="0" w:line="240" w:lineRule="auto"/>
        <w:jc w:val="both"/>
        <w:rPr>
          <w:rFonts w:ascii="Times New Roman" w:hAnsi="Times New Roman" w:cs="Times New Roman"/>
          <w:sz w:val="24"/>
          <w:szCs w:val="24"/>
        </w:rPr>
      </w:pPr>
      <w:r w:rsidRPr="00DD4DFA">
        <w:rPr>
          <w:rFonts w:ascii="Times New Roman" w:hAnsi="Times New Roman" w:cs="Times New Roman"/>
          <w:sz w:val="24"/>
          <w:szCs w:val="24"/>
        </w:rPr>
        <w:t>Bank dokonuje agregacji wymogów kapitałowych na poszczególne rodzaje ryzyka uznane za istotne w oparciu o metodę minimalnego wymogu kapitałowego.</w:t>
      </w:r>
    </w:p>
    <w:p w14:paraId="048EA404" w14:textId="77777777" w:rsidR="00D044D4" w:rsidRPr="00ED417D" w:rsidRDefault="00D044D4" w:rsidP="00110A62">
      <w:pPr>
        <w:spacing w:after="0" w:line="240" w:lineRule="auto"/>
        <w:jc w:val="both"/>
        <w:rPr>
          <w:rFonts w:ascii="Times New Roman" w:hAnsi="Times New Roman" w:cs="Times New Roman"/>
          <w:color w:val="FF0000"/>
          <w:sz w:val="24"/>
          <w:szCs w:val="24"/>
        </w:rPr>
      </w:pPr>
    </w:p>
    <w:p w14:paraId="6F36CF51" w14:textId="77777777" w:rsidR="00457A0B" w:rsidRPr="00DD4DFA" w:rsidRDefault="00457A0B" w:rsidP="00110A62">
      <w:pPr>
        <w:spacing w:after="0" w:line="240" w:lineRule="auto"/>
        <w:jc w:val="both"/>
        <w:rPr>
          <w:rFonts w:ascii="Times New Roman" w:hAnsi="Times New Roman" w:cs="Times New Roman"/>
          <w:sz w:val="24"/>
          <w:szCs w:val="24"/>
        </w:rPr>
      </w:pPr>
      <w:r w:rsidRPr="00DD4DFA">
        <w:rPr>
          <w:rFonts w:ascii="Times New Roman" w:hAnsi="Times New Roman" w:cs="Times New Roman"/>
          <w:sz w:val="24"/>
          <w:szCs w:val="24"/>
        </w:rPr>
        <w:t>Poziomem wyjściowym dla ustalenia kapitału wewnętrznego jest wyliczo</w:t>
      </w:r>
      <w:r w:rsidR="002925C7" w:rsidRPr="00DD4DFA">
        <w:rPr>
          <w:rFonts w:ascii="Times New Roman" w:hAnsi="Times New Roman" w:cs="Times New Roman"/>
          <w:sz w:val="24"/>
          <w:szCs w:val="24"/>
        </w:rPr>
        <w:t>ny regulacyjny wymóg kapitałowy.</w:t>
      </w:r>
    </w:p>
    <w:p w14:paraId="24BC5A87" w14:textId="77777777" w:rsidR="002925C7" w:rsidRPr="00DD4DFA" w:rsidRDefault="002925C7" w:rsidP="00110A62">
      <w:pPr>
        <w:spacing w:after="0" w:line="240" w:lineRule="auto"/>
        <w:jc w:val="both"/>
        <w:rPr>
          <w:rFonts w:ascii="Times New Roman" w:hAnsi="Times New Roman" w:cs="Times New Roman"/>
          <w:sz w:val="24"/>
          <w:szCs w:val="24"/>
        </w:rPr>
      </w:pPr>
    </w:p>
    <w:p w14:paraId="68E9A982" w14:textId="77777777" w:rsidR="002925C7" w:rsidRPr="00DD4DFA" w:rsidRDefault="002925C7" w:rsidP="00110A62">
      <w:pPr>
        <w:spacing w:after="0" w:line="240" w:lineRule="auto"/>
        <w:jc w:val="both"/>
        <w:rPr>
          <w:rFonts w:ascii="Times New Roman" w:hAnsi="Times New Roman" w:cs="Times New Roman"/>
          <w:sz w:val="24"/>
          <w:szCs w:val="24"/>
        </w:rPr>
      </w:pPr>
      <w:r w:rsidRPr="00DD4DFA">
        <w:rPr>
          <w:rFonts w:ascii="Times New Roman" w:hAnsi="Times New Roman" w:cs="Times New Roman"/>
          <w:sz w:val="24"/>
          <w:szCs w:val="24"/>
        </w:rPr>
        <w:t>Bank wyznacza regulacyjny wymóg kapitałowy dla ryzyka:</w:t>
      </w:r>
    </w:p>
    <w:p w14:paraId="6718D078" w14:textId="77777777" w:rsidR="008D1D03" w:rsidRPr="00DD4DFA" w:rsidRDefault="008D1D03" w:rsidP="00271FE5">
      <w:pPr>
        <w:numPr>
          <w:ilvl w:val="0"/>
          <w:numId w:val="9"/>
        </w:numPr>
        <w:spacing w:after="0" w:line="240" w:lineRule="auto"/>
        <w:ind w:left="709" w:hanging="425"/>
        <w:jc w:val="both"/>
        <w:rPr>
          <w:rFonts w:ascii="Times New Roman" w:hAnsi="Times New Roman" w:cs="Times New Roman"/>
          <w:sz w:val="24"/>
          <w:szCs w:val="24"/>
        </w:rPr>
      </w:pPr>
      <w:r w:rsidRPr="00DD4DFA">
        <w:rPr>
          <w:rFonts w:ascii="Times New Roman" w:hAnsi="Times New Roman" w:cs="Times New Roman"/>
          <w:sz w:val="24"/>
          <w:szCs w:val="24"/>
        </w:rPr>
        <w:t>kredytowego, w oparciu o metodę standardową,</w:t>
      </w:r>
    </w:p>
    <w:p w14:paraId="3E02692E" w14:textId="77777777" w:rsidR="008D1D03" w:rsidRPr="00DD4DFA" w:rsidRDefault="008D1D03" w:rsidP="00271FE5">
      <w:pPr>
        <w:numPr>
          <w:ilvl w:val="0"/>
          <w:numId w:val="9"/>
        </w:numPr>
        <w:spacing w:after="0" w:line="240" w:lineRule="auto"/>
        <w:ind w:left="709" w:hanging="425"/>
        <w:jc w:val="both"/>
        <w:rPr>
          <w:rFonts w:ascii="Times New Roman" w:hAnsi="Times New Roman" w:cs="Times New Roman"/>
          <w:sz w:val="24"/>
          <w:szCs w:val="24"/>
        </w:rPr>
      </w:pPr>
      <w:r w:rsidRPr="00DD4DFA">
        <w:rPr>
          <w:rFonts w:ascii="Times New Roman" w:hAnsi="Times New Roman" w:cs="Times New Roman"/>
          <w:sz w:val="24"/>
          <w:szCs w:val="24"/>
        </w:rPr>
        <w:t xml:space="preserve">operacyjnego, </w:t>
      </w:r>
      <w:r w:rsidR="00F071FB" w:rsidRPr="00DD4DFA">
        <w:rPr>
          <w:rFonts w:ascii="Times New Roman" w:hAnsi="Times New Roman" w:cs="Times New Roman"/>
          <w:sz w:val="24"/>
          <w:szCs w:val="24"/>
        </w:rPr>
        <w:t xml:space="preserve">w oparciu o </w:t>
      </w:r>
      <w:r w:rsidRPr="00DD4DFA">
        <w:rPr>
          <w:rFonts w:ascii="Times New Roman" w:hAnsi="Times New Roman" w:cs="Times New Roman"/>
          <w:sz w:val="24"/>
          <w:szCs w:val="24"/>
        </w:rPr>
        <w:t>metodę wskaźnika bazowego</w:t>
      </w:r>
      <w:r w:rsidR="00F071FB" w:rsidRPr="00DD4DFA">
        <w:rPr>
          <w:rFonts w:ascii="Times New Roman" w:hAnsi="Times New Roman" w:cs="Times New Roman"/>
          <w:sz w:val="24"/>
          <w:szCs w:val="24"/>
        </w:rPr>
        <w:t>,</w:t>
      </w:r>
    </w:p>
    <w:p w14:paraId="7D89DE87" w14:textId="77777777" w:rsidR="008D1D03" w:rsidRPr="00DD4DFA" w:rsidRDefault="008D1D03" w:rsidP="00271FE5">
      <w:pPr>
        <w:numPr>
          <w:ilvl w:val="0"/>
          <w:numId w:val="9"/>
        </w:numPr>
        <w:spacing w:after="0" w:line="240" w:lineRule="auto"/>
        <w:ind w:left="709" w:hanging="425"/>
        <w:jc w:val="both"/>
        <w:rPr>
          <w:rFonts w:ascii="Times New Roman" w:hAnsi="Times New Roman" w:cs="Times New Roman"/>
          <w:sz w:val="24"/>
          <w:szCs w:val="24"/>
        </w:rPr>
      </w:pPr>
      <w:r w:rsidRPr="00DD4DFA">
        <w:rPr>
          <w:rFonts w:ascii="Times New Roman" w:hAnsi="Times New Roman" w:cs="Times New Roman"/>
          <w:sz w:val="24"/>
          <w:szCs w:val="24"/>
        </w:rPr>
        <w:t xml:space="preserve">walutowego </w:t>
      </w:r>
      <w:r w:rsidR="00F071FB" w:rsidRPr="00DD4DFA">
        <w:rPr>
          <w:rFonts w:ascii="Times New Roman" w:hAnsi="Times New Roman" w:cs="Times New Roman"/>
          <w:sz w:val="24"/>
          <w:szCs w:val="24"/>
        </w:rPr>
        <w:t>w oparciu o metodę</w:t>
      </w:r>
      <w:r w:rsidRPr="00DD4DFA">
        <w:rPr>
          <w:rFonts w:ascii="Times New Roman" w:hAnsi="Times New Roman" w:cs="Times New Roman"/>
          <w:sz w:val="24"/>
          <w:szCs w:val="24"/>
        </w:rPr>
        <w:t xml:space="preserve"> de </w:t>
      </w:r>
      <w:r w:rsidR="00C14331" w:rsidRPr="00DD4DFA">
        <w:rPr>
          <w:rFonts w:ascii="Times New Roman" w:hAnsi="Times New Roman" w:cs="Times New Roman"/>
          <w:sz w:val="24"/>
          <w:szCs w:val="24"/>
        </w:rPr>
        <w:t>minimis,</w:t>
      </w:r>
    </w:p>
    <w:p w14:paraId="2D2AD290" w14:textId="163D6F7A" w:rsidR="00C14331" w:rsidRPr="00DD4DFA" w:rsidRDefault="00271FE5" w:rsidP="00271FE5">
      <w:pPr>
        <w:numPr>
          <w:ilvl w:val="0"/>
          <w:numId w:val="9"/>
        </w:numPr>
        <w:spacing w:after="0" w:line="240" w:lineRule="auto"/>
        <w:ind w:left="709" w:hanging="425"/>
        <w:jc w:val="both"/>
        <w:rPr>
          <w:rFonts w:ascii="Times New Roman" w:hAnsi="Times New Roman" w:cs="Times New Roman"/>
          <w:sz w:val="24"/>
          <w:szCs w:val="24"/>
        </w:rPr>
      </w:pPr>
      <w:r w:rsidRPr="00DD4DFA">
        <w:rPr>
          <w:rFonts w:ascii="Times New Roman" w:hAnsi="Times New Roman" w:cs="Times New Roman"/>
          <w:sz w:val="24"/>
          <w:szCs w:val="24"/>
        </w:rPr>
        <w:t>k</w:t>
      </w:r>
      <w:r w:rsidR="00C14331" w:rsidRPr="00DD4DFA">
        <w:rPr>
          <w:rFonts w:ascii="Times New Roman" w:hAnsi="Times New Roman" w:cs="Times New Roman"/>
          <w:sz w:val="24"/>
          <w:szCs w:val="24"/>
        </w:rPr>
        <w:t>oncentracji zaangażowania w akcje i udziały w podmiotach spoza sektora finansowego.</w:t>
      </w:r>
    </w:p>
    <w:p w14:paraId="5EDC98FB" w14:textId="77777777" w:rsidR="00D044D4" w:rsidRPr="00ED417D" w:rsidRDefault="00D044D4" w:rsidP="00271FE5">
      <w:pPr>
        <w:spacing w:after="0" w:line="240" w:lineRule="auto"/>
        <w:ind w:left="709" w:hanging="425"/>
        <w:jc w:val="both"/>
        <w:rPr>
          <w:rFonts w:ascii="Times New Roman" w:hAnsi="Times New Roman" w:cs="Times New Roman"/>
          <w:color w:val="FF0000"/>
          <w:sz w:val="24"/>
          <w:szCs w:val="24"/>
        </w:rPr>
      </w:pPr>
    </w:p>
    <w:p w14:paraId="4FE5B7A4" w14:textId="77777777" w:rsidR="008721B4" w:rsidRPr="00EE6669" w:rsidRDefault="008721B4" w:rsidP="008721B4">
      <w:pPr>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Przy obliczaniu dodatkowych wymogów kapitałowych na poszczególne rodzaje ryzyka uznane za istotne przyjmuje się następujące założenia:</w:t>
      </w:r>
    </w:p>
    <w:p w14:paraId="3AC2DBFB" w14:textId="77777777" w:rsidR="008721B4" w:rsidRPr="00EE6669" w:rsidRDefault="008721B4" w:rsidP="000C62C3">
      <w:pPr>
        <w:pStyle w:val="Akapitzlist"/>
        <w:numPr>
          <w:ilvl w:val="0"/>
          <w:numId w:val="30"/>
        </w:numPr>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kapitał wewnętrzny na poszczególne rodzaje ryzyka obliczany jest jako koszt lub utracony przychód (za wyjątkiem ryzyka koncentracji i ryzyka operacyjnego), który może się pojawić w wyniku zaistnienia sytuacji nieoczekiwanej;</w:t>
      </w:r>
    </w:p>
    <w:p w14:paraId="607DF802" w14:textId="77777777" w:rsidR="008721B4" w:rsidRPr="00EE6669" w:rsidRDefault="008721B4" w:rsidP="000C62C3">
      <w:pPr>
        <w:pStyle w:val="Akapitzlist"/>
        <w:numPr>
          <w:ilvl w:val="0"/>
          <w:numId w:val="30"/>
        </w:numPr>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koszt lub utracony przychód, o którym mowa w pkt 1, obliczany jest na podstawie testów warunków skrajnych, które Bank przeprowadza dla poszczególnych rodzajów ryzyka uznanych za istotne;</w:t>
      </w:r>
    </w:p>
    <w:p w14:paraId="5BA05E09" w14:textId="77777777" w:rsidR="008721B4" w:rsidRPr="00EE6669" w:rsidRDefault="008721B4" w:rsidP="000C62C3">
      <w:pPr>
        <w:pStyle w:val="Akapitzlist"/>
        <w:numPr>
          <w:ilvl w:val="0"/>
          <w:numId w:val="30"/>
        </w:numPr>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część lub całość kwoty, o której mowa w pkt 2, Bank może zabezpieczyć z wyniku finansowego zaplanowanego na dany rok obrotowy;</w:t>
      </w:r>
    </w:p>
    <w:p w14:paraId="32445C08" w14:textId="77777777" w:rsidR="008721B4" w:rsidRPr="00EE6669" w:rsidRDefault="008721B4" w:rsidP="000C62C3">
      <w:pPr>
        <w:pStyle w:val="Akapitzlist"/>
        <w:numPr>
          <w:ilvl w:val="0"/>
          <w:numId w:val="30"/>
        </w:numPr>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poziom akceptowalnej straty lub utraconego przychodu (tzw. wskaźnik wrażliwości) Bank wyznacza raz do roku (jako procent funduszy własnych Banku</w:t>
      </w:r>
      <w:r w:rsidR="001B0E86" w:rsidRPr="00EE6669">
        <w:rPr>
          <w:rFonts w:ascii="Times New Roman" w:hAnsi="Times New Roman" w:cs="Times New Roman"/>
          <w:sz w:val="24"/>
          <w:szCs w:val="24"/>
        </w:rPr>
        <w:t>;</w:t>
      </w:r>
    </w:p>
    <w:p w14:paraId="038B73CE" w14:textId="77777777" w:rsidR="008721B4" w:rsidRPr="00EE6669" w:rsidRDefault="008721B4" w:rsidP="00CD0C4A">
      <w:pPr>
        <w:pStyle w:val="Akapitzlist"/>
        <w:spacing w:after="0" w:line="240" w:lineRule="auto"/>
        <w:jc w:val="both"/>
        <w:rPr>
          <w:rFonts w:ascii="Times New Roman" w:hAnsi="Times New Roman" w:cs="Times New Roman"/>
          <w:sz w:val="24"/>
          <w:szCs w:val="24"/>
        </w:rPr>
      </w:pPr>
      <w:r w:rsidRPr="00EE6669">
        <w:rPr>
          <w:rFonts w:ascii="Times New Roman" w:hAnsi="Times New Roman" w:cs="Times New Roman"/>
          <w:sz w:val="24"/>
          <w:szCs w:val="24"/>
        </w:rPr>
        <w:t>dodatkowym wymogiem kapitałowym dla poszczególnych rodzajów ryzyka (za wyjątkiem ryzyka koncentracji i ryzyka operacyjnego) jest kwota, o jaką koszt lub utracony przychód przekroczy akceptowalny poziom ryzyka, o którym mowa w pkt 4.</w:t>
      </w:r>
    </w:p>
    <w:p w14:paraId="17E65199" w14:textId="77777777" w:rsidR="008721B4" w:rsidRPr="00ED417D" w:rsidRDefault="008721B4" w:rsidP="008721B4">
      <w:pPr>
        <w:spacing w:after="0" w:line="240" w:lineRule="auto"/>
        <w:jc w:val="both"/>
        <w:rPr>
          <w:rFonts w:ascii="Times New Roman" w:hAnsi="Times New Roman" w:cs="Times New Roman"/>
          <w:color w:val="FF0000"/>
          <w:sz w:val="24"/>
          <w:szCs w:val="24"/>
        </w:rPr>
      </w:pPr>
    </w:p>
    <w:p w14:paraId="79D5110D" w14:textId="77777777" w:rsidR="008721B4" w:rsidRPr="004874D8" w:rsidRDefault="008721B4" w:rsidP="008721B4">
      <w:pPr>
        <w:spacing w:after="0" w:line="240" w:lineRule="auto"/>
        <w:jc w:val="both"/>
        <w:rPr>
          <w:rFonts w:ascii="Times New Roman" w:hAnsi="Times New Roman" w:cs="Times New Roman"/>
          <w:sz w:val="24"/>
          <w:szCs w:val="24"/>
        </w:rPr>
      </w:pPr>
      <w:r w:rsidRPr="004874D8">
        <w:rPr>
          <w:rFonts w:ascii="Times New Roman" w:hAnsi="Times New Roman" w:cs="Times New Roman"/>
          <w:sz w:val="24"/>
          <w:szCs w:val="24"/>
        </w:rPr>
        <w:t xml:space="preserve">Wyznaczając wymagany poziom kapitału wewnętrznego, z wykorzystaniem w/w metod, Bank: </w:t>
      </w:r>
    </w:p>
    <w:p w14:paraId="7DFC21F2" w14:textId="77777777" w:rsidR="008721B4" w:rsidRPr="004874D8" w:rsidRDefault="008721B4" w:rsidP="000C62C3">
      <w:pPr>
        <w:pStyle w:val="Akapitzlist"/>
        <w:numPr>
          <w:ilvl w:val="0"/>
          <w:numId w:val="31"/>
        </w:numPr>
        <w:spacing w:after="0" w:line="240" w:lineRule="auto"/>
        <w:jc w:val="both"/>
        <w:rPr>
          <w:rFonts w:ascii="Times New Roman" w:hAnsi="Times New Roman" w:cs="Times New Roman"/>
          <w:sz w:val="24"/>
          <w:szCs w:val="24"/>
        </w:rPr>
      </w:pPr>
      <w:r w:rsidRPr="004874D8">
        <w:rPr>
          <w:rFonts w:ascii="Times New Roman" w:hAnsi="Times New Roman" w:cs="Times New Roman"/>
          <w:sz w:val="24"/>
          <w:szCs w:val="24"/>
        </w:rPr>
        <w:t xml:space="preserve">ocenia </w:t>
      </w:r>
      <w:r w:rsidR="00457A0B" w:rsidRPr="004874D8">
        <w:rPr>
          <w:rFonts w:ascii="Times New Roman" w:hAnsi="Times New Roman" w:cs="Times New Roman"/>
          <w:sz w:val="24"/>
          <w:szCs w:val="24"/>
        </w:rPr>
        <w:t xml:space="preserve">czy regulacyjny wymóg kapitałowy w pełni pokrywa ryzyko kredytowe, operacyjne i walutowe i jeżeli jest to konieczne, to, zgodnie z obowiązującymi w Banku </w:t>
      </w:r>
      <w:r w:rsidR="00146705" w:rsidRPr="004874D8">
        <w:rPr>
          <w:rFonts w:ascii="Times New Roman" w:hAnsi="Times New Roman" w:cs="Times New Roman"/>
          <w:sz w:val="24"/>
          <w:szCs w:val="24"/>
        </w:rPr>
        <w:lastRenderedPageBreak/>
        <w:t xml:space="preserve">Zasadami </w:t>
      </w:r>
      <w:r w:rsidR="00457A0B" w:rsidRPr="004874D8">
        <w:rPr>
          <w:rFonts w:ascii="Times New Roman" w:hAnsi="Times New Roman" w:cs="Times New Roman"/>
          <w:sz w:val="24"/>
          <w:szCs w:val="24"/>
        </w:rPr>
        <w:t>szacowania kapitału wewnętrznego, oblicza</w:t>
      </w:r>
      <w:r w:rsidR="00606ACC" w:rsidRPr="004874D8">
        <w:rPr>
          <w:rFonts w:ascii="Times New Roman" w:hAnsi="Times New Roman" w:cs="Times New Roman"/>
          <w:sz w:val="24"/>
          <w:szCs w:val="24"/>
        </w:rPr>
        <w:t xml:space="preserve"> dodatkowy wymóg kapitałowy na </w:t>
      </w:r>
      <w:r w:rsidR="00457A0B" w:rsidRPr="004874D8">
        <w:rPr>
          <w:rFonts w:ascii="Times New Roman" w:hAnsi="Times New Roman" w:cs="Times New Roman"/>
          <w:sz w:val="24"/>
          <w:szCs w:val="24"/>
        </w:rPr>
        <w:t>te ryzyka</w:t>
      </w:r>
      <w:r w:rsidRPr="004874D8">
        <w:rPr>
          <w:rFonts w:ascii="Times New Roman" w:hAnsi="Times New Roman" w:cs="Times New Roman"/>
          <w:sz w:val="24"/>
          <w:szCs w:val="24"/>
        </w:rPr>
        <w:t>;</w:t>
      </w:r>
    </w:p>
    <w:p w14:paraId="4CAF356D" w14:textId="77777777" w:rsidR="008721B4" w:rsidRPr="004874D8" w:rsidRDefault="008721B4" w:rsidP="000C62C3">
      <w:pPr>
        <w:pStyle w:val="Akapitzlist"/>
        <w:numPr>
          <w:ilvl w:val="0"/>
          <w:numId w:val="31"/>
        </w:numPr>
        <w:spacing w:after="0" w:line="240" w:lineRule="auto"/>
        <w:jc w:val="both"/>
        <w:rPr>
          <w:rFonts w:ascii="Times New Roman" w:hAnsi="Times New Roman" w:cs="Times New Roman"/>
          <w:sz w:val="24"/>
          <w:szCs w:val="24"/>
        </w:rPr>
      </w:pPr>
      <w:r w:rsidRPr="004874D8">
        <w:rPr>
          <w:rFonts w:ascii="Times New Roman" w:hAnsi="Times New Roman" w:cs="Times New Roman"/>
          <w:sz w:val="24"/>
          <w:szCs w:val="24"/>
        </w:rPr>
        <w:t>szacuje wymogi kapitałowe na pozostałe, istotne rodzaje ryzyka nie objęte wyznaczaniem regulacyjnych wymogów kapitałowych;</w:t>
      </w:r>
    </w:p>
    <w:p w14:paraId="78A181D1" w14:textId="77777777" w:rsidR="00457A0B" w:rsidRPr="004874D8" w:rsidRDefault="008721B4" w:rsidP="000C62C3">
      <w:pPr>
        <w:pStyle w:val="Akapitzlist"/>
        <w:numPr>
          <w:ilvl w:val="0"/>
          <w:numId w:val="31"/>
        </w:numPr>
        <w:spacing w:after="0" w:line="240" w:lineRule="auto"/>
        <w:jc w:val="both"/>
        <w:rPr>
          <w:rFonts w:ascii="Times New Roman" w:hAnsi="Times New Roman" w:cs="Times New Roman"/>
          <w:sz w:val="24"/>
          <w:szCs w:val="24"/>
        </w:rPr>
      </w:pPr>
      <w:r w:rsidRPr="004874D8">
        <w:rPr>
          <w:rFonts w:ascii="Times New Roman" w:hAnsi="Times New Roman" w:cs="Times New Roman"/>
          <w:sz w:val="24"/>
          <w:szCs w:val="24"/>
        </w:rPr>
        <w:t xml:space="preserve">wyznacza </w:t>
      </w:r>
      <w:r w:rsidR="00C4158E" w:rsidRPr="004874D8">
        <w:rPr>
          <w:rFonts w:ascii="Times New Roman" w:hAnsi="Times New Roman" w:cs="Times New Roman"/>
          <w:sz w:val="24"/>
          <w:szCs w:val="24"/>
        </w:rPr>
        <w:t xml:space="preserve">zagregowany kapitał wewnętrzny, stanowiący </w:t>
      </w:r>
      <w:r w:rsidR="00457A0B" w:rsidRPr="004874D8">
        <w:rPr>
          <w:rFonts w:ascii="Times New Roman" w:hAnsi="Times New Roman" w:cs="Times New Roman"/>
          <w:sz w:val="24"/>
          <w:szCs w:val="24"/>
        </w:rPr>
        <w:t xml:space="preserve">sumę </w:t>
      </w:r>
      <w:r w:rsidR="00C4158E" w:rsidRPr="004874D8">
        <w:rPr>
          <w:rFonts w:ascii="Times New Roman" w:hAnsi="Times New Roman" w:cs="Times New Roman"/>
          <w:sz w:val="24"/>
          <w:szCs w:val="24"/>
        </w:rPr>
        <w:t>wymogów, o których mowa w pkt 1 i 2.</w:t>
      </w:r>
    </w:p>
    <w:p w14:paraId="66FE2C5B" w14:textId="77777777" w:rsidR="00641A4D" w:rsidRPr="00ED417D" w:rsidRDefault="00641A4D" w:rsidP="00110A62">
      <w:pPr>
        <w:spacing w:after="0" w:line="240" w:lineRule="auto"/>
        <w:jc w:val="both"/>
        <w:rPr>
          <w:rFonts w:ascii="Times New Roman" w:hAnsi="Times New Roman" w:cs="Times New Roman"/>
          <w:color w:val="FF0000"/>
          <w:sz w:val="24"/>
          <w:szCs w:val="24"/>
        </w:rPr>
      </w:pPr>
    </w:p>
    <w:p w14:paraId="34AE2B86" w14:textId="29A4CFC0" w:rsidR="00F46134" w:rsidRPr="0045095F" w:rsidRDefault="003B605D" w:rsidP="00110A62">
      <w:pPr>
        <w:spacing w:after="0" w:line="240" w:lineRule="auto"/>
        <w:jc w:val="both"/>
        <w:rPr>
          <w:rFonts w:ascii="Times New Roman" w:hAnsi="Times New Roman" w:cs="Times New Roman"/>
          <w:sz w:val="24"/>
          <w:szCs w:val="24"/>
        </w:rPr>
      </w:pPr>
      <w:r w:rsidRPr="003C238F">
        <w:rPr>
          <w:rFonts w:ascii="Times New Roman" w:hAnsi="Times New Roman" w:cs="Times New Roman"/>
          <w:sz w:val="24"/>
          <w:szCs w:val="24"/>
        </w:rPr>
        <w:t xml:space="preserve">Celem strategicznym Banku w zakresie poziomu adekwatności kapitałowej jest utrzymywanie relacji kapitału wewnętrznego w stosunku do funduszy własnych na </w:t>
      </w:r>
      <w:r w:rsidR="006B1FD8" w:rsidRPr="003C238F">
        <w:rPr>
          <w:rFonts w:ascii="Times New Roman" w:hAnsi="Times New Roman" w:cs="Times New Roman"/>
          <w:sz w:val="24"/>
          <w:szCs w:val="24"/>
        </w:rPr>
        <w:t>maksymalnym</w:t>
      </w:r>
      <w:r w:rsidRPr="003C238F">
        <w:rPr>
          <w:rFonts w:ascii="Times New Roman" w:hAnsi="Times New Roman" w:cs="Times New Roman"/>
          <w:sz w:val="24"/>
          <w:szCs w:val="24"/>
        </w:rPr>
        <w:t xml:space="preserve"> poziomie </w:t>
      </w:r>
      <w:r w:rsidR="00271FE5" w:rsidRPr="003C238F">
        <w:rPr>
          <w:rFonts w:ascii="Times New Roman" w:hAnsi="Times New Roman" w:cs="Times New Roman"/>
          <w:sz w:val="24"/>
          <w:szCs w:val="24"/>
        </w:rPr>
        <w:t>15,</w:t>
      </w:r>
      <w:r w:rsidR="003C238F" w:rsidRPr="003C238F">
        <w:rPr>
          <w:rFonts w:ascii="Times New Roman" w:hAnsi="Times New Roman" w:cs="Times New Roman"/>
          <w:sz w:val="24"/>
          <w:szCs w:val="24"/>
        </w:rPr>
        <w:t>0</w:t>
      </w:r>
      <w:r w:rsidR="00271FE5" w:rsidRPr="003C238F">
        <w:rPr>
          <w:rFonts w:ascii="Times New Roman" w:hAnsi="Times New Roman" w:cs="Times New Roman"/>
          <w:sz w:val="24"/>
          <w:szCs w:val="24"/>
        </w:rPr>
        <w:t>0</w:t>
      </w:r>
      <w:r w:rsidRPr="003C238F">
        <w:rPr>
          <w:rFonts w:ascii="Times New Roman" w:hAnsi="Times New Roman" w:cs="Times New Roman"/>
          <w:sz w:val="24"/>
          <w:szCs w:val="24"/>
        </w:rPr>
        <w:t>%</w:t>
      </w:r>
      <w:r w:rsidR="00271FE5" w:rsidRPr="003C238F">
        <w:rPr>
          <w:rFonts w:ascii="Times New Roman" w:hAnsi="Times New Roman" w:cs="Times New Roman"/>
          <w:sz w:val="24"/>
          <w:szCs w:val="24"/>
        </w:rPr>
        <w:t>.</w:t>
      </w:r>
      <w:r w:rsidR="00892676" w:rsidRPr="003C238F">
        <w:rPr>
          <w:rFonts w:ascii="Times New Roman" w:hAnsi="Times New Roman" w:cs="Times New Roman"/>
          <w:sz w:val="24"/>
          <w:szCs w:val="24"/>
        </w:rPr>
        <w:t xml:space="preserve"> </w:t>
      </w:r>
      <w:r w:rsidRPr="003C238F">
        <w:rPr>
          <w:rFonts w:ascii="Times New Roman" w:hAnsi="Times New Roman" w:cs="Times New Roman"/>
          <w:sz w:val="24"/>
          <w:szCs w:val="24"/>
        </w:rPr>
        <w:t xml:space="preserve">Na datę </w:t>
      </w:r>
      <w:r w:rsidR="00C4158E" w:rsidRPr="003C238F">
        <w:rPr>
          <w:rFonts w:ascii="Times New Roman" w:hAnsi="Times New Roman" w:cs="Times New Roman"/>
          <w:sz w:val="24"/>
          <w:szCs w:val="24"/>
        </w:rPr>
        <w:t xml:space="preserve">sporządzenia </w:t>
      </w:r>
      <w:r w:rsidRPr="003C238F">
        <w:rPr>
          <w:rFonts w:ascii="Times New Roman" w:hAnsi="Times New Roman" w:cs="Times New Roman"/>
          <w:sz w:val="24"/>
          <w:szCs w:val="24"/>
        </w:rPr>
        <w:t xml:space="preserve">informacji relacja </w:t>
      </w:r>
      <w:r w:rsidR="00C4158E" w:rsidRPr="003C238F">
        <w:rPr>
          <w:rFonts w:ascii="Times New Roman" w:hAnsi="Times New Roman" w:cs="Times New Roman"/>
          <w:sz w:val="24"/>
          <w:szCs w:val="24"/>
        </w:rPr>
        <w:t xml:space="preserve">ta </w:t>
      </w:r>
      <w:r w:rsidRPr="003C238F">
        <w:rPr>
          <w:rFonts w:ascii="Times New Roman" w:hAnsi="Times New Roman" w:cs="Times New Roman"/>
          <w:sz w:val="24"/>
          <w:szCs w:val="24"/>
        </w:rPr>
        <w:t xml:space="preserve">wynosiła </w:t>
      </w:r>
      <w:r w:rsidR="00271FE5" w:rsidRPr="003C238F">
        <w:rPr>
          <w:rFonts w:ascii="Times New Roman" w:hAnsi="Times New Roman" w:cs="Times New Roman"/>
          <w:sz w:val="24"/>
          <w:szCs w:val="24"/>
        </w:rPr>
        <w:t>1</w:t>
      </w:r>
      <w:r w:rsidR="003C238F" w:rsidRPr="003C238F">
        <w:rPr>
          <w:rFonts w:ascii="Times New Roman" w:hAnsi="Times New Roman" w:cs="Times New Roman"/>
          <w:sz w:val="24"/>
          <w:szCs w:val="24"/>
        </w:rPr>
        <w:t>6,76</w:t>
      </w:r>
      <w:r w:rsidRPr="003C238F">
        <w:rPr>
          <w:rFonts w:ascii="Times New Roman" w:hAnsi="Times New Roman" w:cs="Times New Roman"/>
          <w:sz w:val="24"/>
          <w:szCs w:val="24"/>
        </w:rPr>
        <w:t>%</w:t>
      </w:r>
      <w:r w:rsidR="00612DBE">
        <w:rPr>
          <w:rFonts w:ascii="Times New Roman" w:hAnsi="Times New Roman" w:cs="Times New Roman"/>
          <w:sz w:val="24"/>
          <w:szCs w:val="24"/>
        </w:rPr>
        <w:t>.</w:t>
      </w:r>
    </w:p>
    <w:p w14:paraId="18C88F65" w14:textId="02597E60" w:rsidR="00B94D4E" w:rsidRPr="004874D8" w:rsidRDefault="00527E59" w:rsidP="00B94D4E">
      <w:pPr>
        <w:spacing w:after="0"/>
        <w:jc w:val="both"/>
      </w:pPr>
      <w:r w:rsidRPr="004874D8">
        <w:rPr>
          <w:rFonts w:ascii="Times New Roman" w:hAnsi="Times New Roman" w:cs="Times New Roman"/>
          <w:sz w:val="24"/>
          <w:szCs w:val="24"/>
        </w:rPr>
        <w:t xml:space="preserve">W </w:t>
      </w:r>
      <w:r w:rsidR="00271FE5" w:rsidRPr="004874D8">
        <w:rPr>
          <w:rFonts w:ascii="Times New Roman" w:hAnsi="Times New Roman" w:cs="Times New Roman"/>
          <w:sz w:val="24"/>
          <w:szCs w:val="24"/>
        </w:rPr>
        <w:t>2019</w:t>
      </w:r>
      <w:r w:rsidRPr="004874D8">
        <w:rPr>
          <w:rFonts w:ascii="Times New Roman" w:hAnsi="Times New Roman" w:cs="Times New Roman"/>
          <w:sz w:val="24"/>
          <w:szCs w:val="24"/>
        </w:rPr>
        <w:t xml:space="preserve"> roku Komisja Nadzoru Finansowego nie nałożyła na Bank </w:t>
      </w:r>
      <w:r w:rsidR="00FF5E42" w:rsidRPr="004874D8">
        <w:rPr>
          <w:rFonts w:ascii="Times New Roman" w:hAnsi="Times New Roman" w:cs="Times New Roman"/>
          <w:sz w:val="24"/>
          <w:szCs w:val="24"/>
        </w:rPr>
        <w:t xml:space="preserve">obowiązku utrzymywania dodatkowych wymogów kapitałowych. </w:t>
      </w:r>
      <w:r w:rsidR="00B94D4E" w:rsidRPr="004874D8">
        <w:rPr>
          <w:rFonts w:ascii="Times New Roman" w:hAnsi="Times New Roman" w:cs="Times New Roman"/>
          <w:sz w:val="24"/>
          <w:szCs w:val="24"/>
        </w:rPr>
        <w:t>(</w:t>
      </w:r>
      <w:r w:rsidR="00B94D4E" w:rsidRPr="004874D8">
        <w:rPr>
          <w:rFonts w:ascii="Times New Roman" w:eastAsia="Times New Roman" w:hAnsi="Times New Roman" w:cs="Times New Roman"/>
          <w:i/>
          <w:sz w:val="24"/>
          <w:szCs w:val="24"/>
          <w:lang w:eastAsia="pl-PL"/>
        </w:rPr>
        <w:t>wymóg nakładany przez KNF w drodze indywidualnej decyzji na podstawie art. 138 ust. 1 pkt 2 ustawy Prawo bankowe</w:t>
      </w:r>
      <w:r w:rsidR="00B94D4E" w:rsidRPr="004874D8">
        <w:t>)</w:t>
      </w:r>
    </w:p>
    <w:p w14:paraId="6131D5C1" w14:textId="77777777" w:rsidR="00527E59" w:rsidRPr="00C50B16" w:rsidRDefault="00527E59" w:rsidP="00527E59">
      <w:pPr>
        <w:spacing w:after="0" w:line="240" w:lineRule="auto"/>
        <w:jc w:val="both"/>
        <w:rPr>
          <w:rFonts w:ascii="Times New Roman" w:hAnsi="Times New Roman" w:cs="Times New Roman"/>
          <w:sz w:val="24"/>
          <w:szCs w:val="24"/>
        </w:rPr>
      </w:pPr>
    </w:p>
    <w:p w14:paraId="4FE23291" w14:textId="77777777" w:rsidR="002925C7" w:rsidRPr="00C50B16" w:rsidRDefault="002925C7" w:rsidP="000C62C3">
      <w:pPr>
        <w:pStyle w:val="Akapitzlist"/>
        <w:numPr>
          <w:ilvl w:val="6"/>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C50B16">
        <w:rPr>
          <w:rFonts w:ascii="Times New Roman" w:hAnsi="Times New Roman" w:cs="Times New Roman"/>
          <w:b/>
          <w:sz w:val="24"/>
          <w:szCs w:val="24"/>
        </w:rPr>
        <w:t>Regulacyjny wymóg kapitałowy na ryzyko kredytowe w podziale na kategorie ekspozycji</w:t>
      </w:r>
    </w:p>
    <w:p w14:paraId="33BABC45" w14:textId="77777777" w:rsidR="00527E59" w:rsidRPr="00C50B16" w:rsidRDefault="00527E59" w:rsidP="00527E59">
      <w:pPr>
        <w:spacing w:after="0" w:line="240" w:lineRule="auto"/>
        <w:jc w:val="both"/>
        <w:rPr>
          <w:rFonts w:ascii="Times New Roman" w:hAnsi="Times New Roman" w:cs="Times New Roman"/>
          <w:sz w:val="24"/>
          <w:szCs w:val="24"/>
        </w:rPr>
      </w:pPr>
    </w:p>
    <w:p w14:paraId="1DD56382" w14:textId="0762F28E" w:rsidR="002925C7" w:rsidRPr="00C50B16" w:rsidRDefault="00163852" w:rsidP="00095BCE">
      <w:pPr>
        <w:spacing w:after="0" w:line="240" w:lineRule="auto"/>
        <w:jc w:val="both"/>
        <w:rPr>
          <w:rFonts w:ascii="Times New Roman" w:eastAsia="Times New Roman" w:hAnsi="Times New Roman" w:cs="Times New Roman"/>
          <w:i/>
          <w:sz w:val="24"/>
          <w:szCs w:val="24"/>
          <w:lang w:eastAsia="pl-PL"/>
        </w:rPr>
      </w:pPr>
      <w:r w:rsidRPr="00C50B16">
        <w:rPr>
          <w:rFonts w:ascii="Times New Roman" w:eastAsia="Times New Roman" w:hAnsi="Times New Roman" w:cs="Times New Roman"/>
          <w:i/>
          <w:sz w:val="24"/>
          <w:szCs w:val="24"/>
          <w:lang w:eastAsia="pl-PL"/>
        </w:rPr>
        <w:t>Wykaz ekspozycji w podziale na poszczególne kategorie ekspozycji jako 8% kwot ważonych ryzykiem</w:t>
      </w:r>
      <w:r w:rsidR="00A803C7" w:rsidRPr="00C50B16">
        <w:rPr>
          <w:rFonts w:ascii="Times New Roman" w:eastAsia="Times New Roman" w:hAnsi="Times New Roman" w:cs="Times New Roman"/>
          <w:i/>
          <w:sz w:val="24"/>
          <w:szCs w:val="24"/>
          <w:lang w:eastAsia="pl-PL"/>
        </w:rPr>
        <w:t>:</w:t>
      </w:r>
      <w:r w:rsidRPr="00C50B16">
        <w:rPr>
          <w:rFonts w:ascii="Times New Roman" w:eastAsia="Times New Roman" w:hAnsi="Times New Roman" w:cs="Times New Roman"/>
          <w:i/>
          <w:sz w:val="24"/>
          <w:szCs w:val="24"/>
          <w:lang w:eastAsia="pl-PL"/>
        </w:rPr>
        <w:t xml:space="preserve"> </w:t>
      </w:r>
    </w:p>
    <w:tbl>
      <w:tblPr>
        <w:tblStyle w:val="Tabela-Siatka"/>
        <w:tblW w:w="9039" w:type="dxa"/>
        <w:tblInd w:w="283" w:type="dxa"/>
        <w:tblLook w:val="04A0" w:firstRow="1" w:lastRow="0" w:firstColumn="1" w:lastColumn="0" w:noHBand="0" w:noVBand="1"/>
      </w:tblPr>
      <w:tblGrid>
        <w:gridCol w:w="4078"/>
        <w:gridCol w:w="2693"/>
        <w:gridCol w:w="2268"/>
      </w:tblGrid>
      <w:tr w:rsidR="00C50B16" w:rsidRPr="00C50B16" w14:paraId="5336469D" w14:textId="77777777" w:rsidTr="0031592D">
        <w:tc>
          <w:tcPr>
            <w:tcW w:w="4078" w:type="dxa"/>
            <w:shd w:val="clear" w:color="auto" w:fill="D9D9D9" w:themeFill="background1" w:themeFillShade="D9"/>
            <w:vAlign w:val="center"/>
          </w:tcPr>
          <w:p w14:paraId="1E572DCC" w14:textId="77777777" w:rsidR="00604C89" w:rsidRPr="00C50B16" w:rsidRDefault="00604C89" w:rsidP="00604C89">
            <w:pPr>
              <w:tabs>
                <w:tab w:val="left" w:pos="1970"/>
              </w:tabs>
              <w:jc w:val="center"/>
              <w:rPr>
                <w:rFonts w:ascii="Times New Roman" w:hAnsi="Times New Roman" w:cs="Times New Roman"/>
                <w:b/>
                <w:i/>
                <w:sz w:val="20"/>
                <w:szCs w:val="20"/>
              </w:rPr>
            </w:pPr>
            <w:r w:rsidRPr="00C50B16">
              <w:rPr>
                <w:rFonts w:ascii="Times New Roman" w:hAnsi="Times New Roman" w:cs="Times New Roman"/>
                <w:b/>
                <w:i/>
                <w:sz w:val="20"/>
                <w:szCs w:val="20"/>
              </w:rPr>
              <w:t xml:space="preserve">Kategoria </w:t>
            </w:r>
          </w:p>
        </w:tc>
        <w:tc>
          <w:tcPr>
            <w:tcW w:w="2693" w:type="dxa"/>
            <w:shd w:val="clear" w:color="auto" w:fill="D9D9D9" w:themeFill="background1" w:themeFillShade="D9"/>
            <w:vAlign w:val="center"/>
          </w:tcPr>
          <w:p w14:paraId="1184AE19" w14:textId="77777777" w:rsidR="00604C89" w:rsidRPr="00C50B16" w:rsidRDefault="00604C89" w:rsidP="00604C89">
            <w:pPr>
              <w:jc w:val="center"/>
              <w:rPr>
                <w:rFonts w:ascii="Times New Roman" w:hAnsi="Times New Roman" w:cs="Times New Roman"/>
                <w:b/>
                <w:i/>
                <w:sz w:val="20"/>
                <w:szCs w:val="20"/>
              </w:rPr>
            </w:pPr>
            <w:r w:rsidRPr="00C50B16">
              <w:rPr>
                <w:rFonts w:ascii="Times New Roman" w:hAnsi="Times New Roman" w:cs="Times New Roman"/>
                <w:b/>
                <w:i/>
                <w:sz w:val="20"/>
                <w:szCs w:val="20"/>
              </w:rPr>
              <w:t>Wartość aktywów ważonych ryzykiem</w:t>
            </w:r>
          </w:p>
          <w:p w14:paraId="2A17B765" w14:textId="77777777" w:rsidR="00604C89" w:rsidRPr="00C50B16" w:rsidRDefault="00604C89" w:rsidP="00604C89">
            <w:pPr>
              <w:jc w:val="center"/>
              <w:rPr>
                <w:rFonts w:ascii="Times New Roman" w:hAnsi="Times New Roman" w:cs="Times New Roman"/>
                <w:b/>
                <w:i/>
                <w:sz w:val="20"/>
                <w:szCs w:val="20"/>
              </w:rPr>
            </w:pPr>
            <w:r w:rsidRPr="00C50B16">
              <w:rPr>
                <w:rFonts w:ascii="Times New Roman" w:hAnsi="Times New Roman" w:cs="Times New Roman"/>
                <w:b/>
                <w:i/>
                <w:sz w:val="20"/>
                <w:szCs w:val="20"/>
              </w:rPr>
              <w:t>tys. zł</w:t>
            </w:r>
          </w:p>
        </w:tc>
        <w:tc>
          <w:tcPr>
            <w:tcW w:w="2268" w:type="dxa"/>
            <w:shd w:val="clear" w:color="auto" w:fill="D9D9D9" w:themeFill="background1" w:themeFillShade="D9"/>
            <w:vAlign w:val="center"/>
          </w:tcPr>
          <w:p w14:paraId="6AE36E03" w14:textId="77777777" w:rsidR="00604C89" w:rsidRPr="00C50B16" w:rsidRDefault="00604C89" w:rsidP="00604C89">
            <w:pPr>
              <w:jc w:val="center"/>
              <w:rPr>
                <w:rFonts w:ascii="Times New Roman" w:hAnsi="Times New Roman" w:cs="Times New Roman"/>
                <w:b/>
                <w:i/>
                <w:sz w:val="20"/>
                <w:szCs w:val="20"/>
              </w:rPr>
            </w:pPr>
            <w:r w:rsidRPr="00C50B16">
              <w:rPr>
                <w:rFonts w:ascii="Times New Roman" w:hAnsi="Times New Roman" w:cs="Times New Roman"/>
                <w:b/>
                <w:i/>
                <w:sz w:val="20"/>
                <w:szCs w:val="20"/>
              </w:rPr>
              <w:t>Wymóg kapitałowy</w:t>
            </w:r>
          </w:p>
          <w:p w14:paraId="32005E81" w14:textId="77777777" w:rsidR="00604C89" w:rsidRPr="00C50B16" w:rsidRDefault="00604C89" w:rsidP="00604C89">
            <w:pPr>
              <w:jc w:val="center"/>
              <w:rPr>
                <w:rFonts w:ascii="Times New Roman" w:hAnsi="Times New Roman" w:cs="Times New Roman"/>
                <w:b/>
                <w:i/>
                <w:sz w:val="20"/>
                <w:szCs w:val="20"/>
              </w:rPr>
            </w:pPr>
            <w:r w:rsidRPr="00C50B16">
              <w:rPr>
                <w:rFonts w:ascii="Times New Roman" w:hAnsi="Times New Roman" w:cs="Times New Roman"/>
                <w:b/>
                <w:i/>
                <w:sz w:val="20"/>
                <w:szCs w:val="20"/>
              </w:rPr>
              <w:t>tys. zł</w:t>
            </w:r>
          </w:p>
        </w:tc>
      </w:tr>
      <w:tr w:rsidR="00C50B16" w:rsidRPr="00C50B16" w14:paraId="5E25B848" w14:textId="77777777" w:rsidTr="0031592D">
        <w:tc>
          <w:tcPr>
            <w:tcW w:w="4078" w:type="dxa"/>
          </w:tcPr>
          <w:p w14:paraId="643FE760"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wobec rządów centralnych lub banków centralnych</w:t>
            </w:r>
          </w:p>
        </w:tc>
        <w:tc>
          <w:tcPr>
            <w:tcW w:w="2693" w:type="dxa"/>
          </w:tcPr>
          <w:p w14:paraId="029C2EC3" w14:textId="7E6DD612"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c>
          <w:tcPr>
            <w:tcW w:w="2268" w:type="dxa"/>
          </w:tcPr>
          <w:p w14:paraId="3CBA9CFF" w14:textId="56BA67AD"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r>
      <w:tr w:rsidR="00C50B16" w:rsidRPr="00C50B16" w14:paraId="698D55E3" w14:textId="77777777" w:rsidTr="0031592D">
        <w:tc>
          <w:tcPr>
            <w:tcW w:w="4078" w:type="dxa"/>
          </w:tcPr>
          <w:p w14:paraId="681B843C"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wobec samorządów regionalnych lub władz lokalnych</w:t>
            </w:r>
          </w:p>
        </w:tc>
        <w:tc>
          <w:tcPr>
            <w:tcW w:w="2693" w:type="dxa"/>
          </w:tcPr>
          <w:p w14:paraId="02ACE916" w14:textId="72394A14" w:rsidR="00DF0BAE" w:rsidRPr="00C50B16" w:rsidRDefault="006C524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4 929</w:t>
            </w:r>
          </w:p>
        </w:tc>
        <w:tc>
          <w:tcPr>
            <w:tcW w:w="2268" w:type="dxa"/>
          </w:tcPr>
          <w:p w14:paraId="3E76AB10" w14:textId="194AF398"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3</w:t>
            </w:r>
            <w:r w:rsidR="006C5246" w:rsidRPr="00C50B16">
              <w:rPr>
                <w:rFonts w:ascii="Times New Roman" w:hAnsi="Times New Roman" w:cs="Times New Roman"/>
                <w:sz w:val="20"/>
                <w:szCs w:val="20"/>
              </w:rPr>
              <w:t>96</w:t>
            </w:r>
          </w:p>
        </w:tc>
      </w:tr>
      <w:tr w:rsidR="00C50B16" w:rsidRPr="00C50B16" w14:paraId="6B3865FC" w14:textId="77777777" w:rsidTr="0031592D">
        <w:tc>
          <w:tcPr>
            <w:tcW w:w="4078" w:type="dxa"/>
          </w:tcPr>
          <w:p w14:paraId="6E24C479"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wobec podmiotów sektora publicznego</w:t>
            </w:r>
          </w:p>
        </w:tc>
        <w:tc>
          <w:tcPr>
            <w:tcW w:w="2693" w:type="dxa"/>
          </w:tcPr>
          <w:p w14:paraId="13923C16" w14:textId="338599E5"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 xml:space="preserve">2 </w:t>
            </w:r>
            <w:r w:rsidR="006C5246" w:rsidRPr="00C50B16">
              <w:rPr>
                <w:rFonts w:ascii="Times New Roman" w:hAnsi="Times New Roman" w:cs="Times New Roman"/>
                <w:sz w:val="20"/>
                <w:szCs w:val="20"/>
              </w:rPr>
              <w:t>505</w:t>
            </w:r>
          </w:p>
        </w:tc>
        <w:tc>
          <w:tcPr>
            <w:tcW w:w="2268" w:type="dxa"/>
          </w:tcPr>
          <w:p w14:paraId="6C17E1A5" w14:textId="12611ADC" w:rsidR="00DF0BAE" w:rsidRPr="00C50B16" w:rsidRDefault="006C524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200</w:t>
            </w:r>
          </w:p>
        </w:tc>
      </w:tr>
      <w:tr w:rsidR="00C50B16" w:rsidRPr="00C50B16" w14:paraId="577EB992" w14:textId="77777777" w:rsidTr="0031592D">
        <w:tc>
          <w:tcPr>
            <w:tcW w:w="4078" w:type="dxa"/>
          </w:tcPr>
          <w:p w14:paraId="6DAD55E0"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wobec instytucji</w:t>
            </w:r>
          </w:p>
        </w:tc>
        <w:tc>
          <w:tcPr>
            <w:tcW w:w="2693" w:type="dxa"/>
          </w:tcPr>
          <w:p w14:paraId="2DC470C8" w14:textId="33BC054F" w:rsidR="00DF0BAE" w:rsidRPr="00C50B16" w:rsidRDefault="006C524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252</w:t>
            </w:r>
          </w:p>
        </w:tc>
        <w:tc>
          <w:tcPr>
            <w:tcW w:w="2268" w:type="dxa"/>
          </w:tcPr>
          <w:p w14:paraId="64276C9D" w14:textId="45F20A52"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2</w:t>
            </w:r>
            <w:r w:rsidR="006C5246" w:rsidRPr="00C50B16">
              <w:rPr>
                <w:rFonts w:ascii="Times New Roman" w:hAnsi="Times New Roman" w:cs="Times New Roman"/>
                <w:sz w:val="20"/>
                <w:szCs w:val="20"/>
              </w:rPr>
              <w:t>0</w:t>
            </w:r>
          </w:p>
        </w:tc>
      </w:tr>
      <w:tr w:rsidR="00C50B16" w:rsidRPr="00C50B16" w14:paraId="7672B7E5" w14:textId="77777777" w:rsidTr="0031592D">
        <w:tc>
          <w:tcPr>
            <w:tcW w:w="4078" w:type="dxa"/>
          </w:tcPr>
          <w:p w14:paraId="33A1FD84"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wobec przedsiębiorstw</w:t>
            </w:r>
          </w:p>
        </w:tc>
        <w:tc>
          <w:tcPr>
            <w:tcW w:w="2693" w:type="dxa"/>
          </w:tcPr>
          <w:p w14:paraId="688784DF" w14:textId="37067F45"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c>
          <w:tcPr>
            <w:tcW w:w="2268" w:type="dxa"/>
          </w:tcPr>
          <w:p w14:paraId="320149A3" w14:textId="0F4D48E5"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r>
      <w:tr w:rsidR="00C50B16" w:rsidRPr="00C50B16" w14:paraId="542AA3C2" w14:textId="77777777" w:rsidTr="0031592D">
        <w:tc>
          <w:tcPr>
            <w:tcW w:w="4078" w:type="dxa"/>
          </w:tcPr>
          <w:p w14:paraId="2A05C98C"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detaliczne</w:t>
            </w:r>
          </w:p>
        </w:tc>
        <w:tc>
          <w:tcPr>
            <w:tcW w:w="2693" w:type="dxa"/>
          </w:tcPr>
          <w:p w14:paraId="3B11D55A" w14:textId="7EBAB760"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3</w:t>
            </w:r>
            <w:r w:rsidR="006C5246" w:rsidRPr="00C50B16">
              <w:rPr>
                <w:rFonts w:ascii="Times New Roman" w:hAnsi="Times New Roman" w:cs="Times New Roman"/>
                <w:sz w:val="20"/>
                <w:szCs w:val="20"/>
              </w:rPr>
              <w:t>0 991</w:t>
            </w:r>
          </w:p>
        </w:tc>
        <w:tc>
          <w:tcPr>
            <w:tcW w:w="2268" w:type="dxa"/>
          </w:tcPr>
          <w:p w14:paraId="3632C133" w14:textId="7A2FC623"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2</w:t>
            </w:r>
            <w:r w:rsidR="006C5246" w:rsidRPr="00C50B16">
              <w:rPr>
                <w:rFonts w:ascii="Times New Roman" w:hAnsi="Times New Roman" w:cs="Times New Roman"/>
                <w:sz w:val="20"/>
                <w:szCs w:val="20"/>
              </w:rPr>
              <w:t xml:space="preserve"> 479</w:t>
            </w:r>
          </w:p>
        </w:tc>
      </w:tr>
      <w:tr w:rsidR="00C50B16" w:rsidRPr="00C50B16" w14:paraId="4CBE48C5" w14:textId="77777777" w:rsidTr="0031592D">
        <w:tc>
          <w:tcPr>
            <w:tcW w:w="4078" w:type="dxa"/>
          </w:tcPr>
          <w:p w14:paraId="02D92857"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zabezpieczone hipotekami na nieruchomościach</w:t>
            </w:r>
          </w:p>
        </w:tc>
        <w:tc>
          <w:tcPr>
            <w:tcW w:w="2693" w:type="dxa"/>
          </w:tcPr>
          <w:p w14:paraId="5FED436E" w14:textId="67277768"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1</w:t>
            </w:r>
            <w:r w:rsidR="006C5246" w:rsidRPr="00C50B16">
              <w:rPr>
                <w:rFonts w:ascii="Times New Roman" w:hAnsi="Times New Roman" w:cs="Times New Roman"/>
                <w:sz w:val="20"/>
                <w:szCs w:val="20"/>
              </w:rPr>
              <w:t>0 343</w:t>
            </w:r>
          </w:p>
        </w:tc>
        <w:tc>
          <w:tcPr>
            <w:tcW w:w="2268" w:type="dxa"/>
          </w:tcPr>
          <w:p w14:paraId="2C40CB26" w14:textId="577D6E17" w:rsidR="00DF0BAE" w:rsidRPr="00C50B16" w:rsidRDefault="006C524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827</w:t>
            </w:r>
          </w:p>
        </w:tc>
      </w:tr>
      <w:tr w:rsidR="00C50B16" w:rsidRPr="00C50B16" w14:paraId="51229A2E" w14:textId="77777777" w:rsidTr="0031592D">
        <w:tc>
          <w:tcPr>
            <w:tcW w:w="4078" w:type="dxa"/>
          </w:tcPr>
          <w:p w14:paraId="3AFA90D9"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których dotyczy niewykonanie zobowiązania</w:t>
            </w:r>
          </w:p>
        </w:tc>
        <w:tc>
          <w:tcPr>
            <w:tcW w:w="2693" w:type="dxa"/>
          </w:tcPr>
          <w:p w14:paraId="3993A229" w14:textId="5067C0B3" w:rsidR="00DF0BAE" w:rsidRPr="00C50B16" w:rsidRDefault="006C524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1193</w:t>
            </w:r>
          </w:p>
        </w:tc>
        <w:tc>
          <w:tcPr>
            <w:tcW w:w="2268" w:type="dxa"/>
          </w:tcPr>
          <w:p w14:paraId="6FC0C3C0" w14:textId="7C51BC32" w:rsidR="00DF0BAE" w:rsidRPr="00C50B16" w:rsidRDefault="00C50B1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95</w:t>
            </w:r>
          </w:p>
        </w:tc>
      </w:tr>
      <w:tr w:rsidR="00C50B16" w:rsidRPr="00C50B16" w14:paraId="54961DA7" w14:textId="77777777" w:rsidTr="0031592D">
        <w:tc>
          <w:tcPr>
            <w:tcW w:w="4078" w:type="dxa"/>
          </w:tcPr>
          <w:p w14:paraId="3781B340"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w postaci jednostek uczestnictwa lub udziałów w przedsiębiorstwach zbiorowego inwestowania</w:t>
            </w:r>
          </w:p>
        </w:tc>
        <w:tc>
          <w:tcPr>
            <w:tcW w:w="2693" w:type="dxa"/>
          </w:tcPr>
          <w:p w14:paraId="05C65E3E" w14:textId="65B9C174"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c>
          <w:tcPr>
            <w:tcW w:w="2268" w:type="dxa"/>
          </w:tcPr>
          <w:p w14:paraId="261A28A6" w14:textId="223F61C0"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r>
      <w:tr w:rsidR="00C50B16" w:rsidRPr="00C50B16" w14:paraId="56C37D47" w14:textId="77777777" w:rsidTr="0031592D">
        <w:tc>
          <w:tcPr>
            <w:tcW w:w="4078" w:type="dxa"/>
          </w:tcPr>
          <w:p w14:paraId="1DFC7619"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ekspozycje kapitałowe</w:t>
            </w:r>
          </w:p>
        </w:tc>
        <w:tc>
          <w:tcPr>
            <w:tcW w:w="2693" w:type="dxa"/>
          </w:tcPr>
          <w:p w14:paraId="794B5C2B" w14:textId="403D1136"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1 308</w:t>
            </w:r>
          </w:p>
        </w:tc>
        <w:tc>
          <w:tcPr>
            <w:tcW w:w="2268" w:type="dxa"/>
          </w:tcPr>
          <w:p w14:paraId="5B1BDB93" w14:textId="727A0E70"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105</w:t>
            </w:r>
          </w:p>
        </w:tc>
      </w:tr>
      <w:tr w:rsidR="00C50B16" w:rsidRPr="00C50B16" w14:paraId="101E4586" w14:textId="77777777" w:rsidTr="0031592D">
        <w:tc>
          <w:tcPr>
            <w:tcW w:w="4078" w:type="dxa"/>
          </w:tcPr>
          <w:p w14:paraId="24A9F5B2"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pozycje związane ze szczególnie wysokim ryzykiem</w:t>
            </w:r>
          </w:p>
        </w:tc>
        <w:tc>
          <w:tcPr>
            <w:tcW w:w="2693" w:type="dxa"/>
          </w:tcPr>
          <w:p w14:paraId="27436C88" w14:textId="4F88DA2B"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c>
          <w:tcPr>
            <w:tcW w:w="2268" w:type="dxa"/>
          </w:tcPr>
          <w:p w14:paraId="60A76017" w14:textId="50268AA6"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r>
      <w:tr w:rsidR="00C50B16" w:rsidRPr="00C50B16" w14:paraId="7C5DBC1B" w14:textId="77777777" w:rsidTr="0031592D">
        <w:tc>
          <w:tcPr>
            <w:tcW w:w="4078" w:type="dxa"/>
          </w:tcPr>
          <w:p w14:paraId="745DE01F" w14:textId="77777777" w:rsidR="00DF0BAE" w:rsidRPr="00C50B16" w:rsidRDefault="00DF0BAE" w:rsidP="00DF0BAE">
            <w:pPr>
              <w:pStyle w:val="Tekstpodstawowy2"/>
              <w:ind w:left="1" w:hanging="1"/>
              <w:jc w:val="left"/>
              <w:rPr>
                <w:rFonts w:ascii="Times New Roman" w:hAnsi="Times New Roman" w:cs="Times New Roman"/>
                <w:sz w:val="20"/>
                <w:szCs w:val="20"/>
              </w:rPr>
            </w:pPr>
            <w:r w:rsidRPr="00C50B16">
              <w:rPr>
                <w:rFonts w:ascii="Times New Roman" w:hAnsi="Times New Roman" w:cs="Times New Roman"/>
                <w:sz w:val="20"/>
                <w:szCs w:val="20"/>
              </w:rPr>
              <w:t>inne pozycje</w:t>
            </w:r>
          </w:p>
        </w:tc>
        <w:tc>
          <w:tcPr>
            <w:tcW w:w="2693" w:type="dxa"/>
          </w:tcPr>
          <w:p w14:paraId="506BF92D" w14:textId="7682CB7F" w:rsidR="00DF0BAE"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 xml:space="preserve">2 </w:t>
            </w:r>
            <w:r w:rsidR="006C5246" w:rsidRPr="00C50B16">
              <w:rPr>
                <w:rFonts w:ascii="Times New Roman" w:hAnsi="Times New Roman" w:cs="Times New Roman"/>
                <w:sz w:val="20"/>
                <w:szCs w:val="20"/>
              </w:rPr>
              <w:t>166</w:t>
            </w:r>
          </w:p>
        </w:tc>
        <w:tc>
          <w:tcPr>
            <w:tcW w:w="2268" w:type="dxa"/>
          </w:tcPr>
          <w:p w14:paraId="59430D2F" w14:textId="6CAF83D5" w:rsidR="00DF0BAE" w:rsidRPr="00C50B16" w:rsidRDefault="00C50B16"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173</w:t>
            </w:r>
          </w:p>
        </w:tc>
      </w:tr>
      <w:tr w:rsidR="00C50B16" w:rsidRPr="00C50B16" w14:paraId="386342C2" w14:textId="77777777" w:rsidTr="00FE4A23">
        <w:tc>
          <w:tcPr>
            <w:tcW w:w="6771" w:type="dxa"/>
            <w:gridSpan w:val="2"/>
          </w:tcPr>
          <w:p w14:paraId="33065790" w14:textId="77777777" w:rsidR="005210CB" w:rsidRPr="00C50B16" w:rsidRDefault="005210CB" w:rsidP="00FE4A23">
            <w:pPr>
              <w:pStyle w:val="Tekstpodstawowywcity"/>
              <w:spacing w:after="0"/>
              <w:ind w:left="0"/>
              <w:jc w:val="both"/>
              <w:rPr>
                <w:rFonts w:ascii="Times New Roman" w:hAnsi="Times New Roman" w:cs="Times New Roman"/>
                <w:b/>
                <w:sz w:val="20"/>
                <w:szCs w:val="20"/>
              </w:rPr>
            </w:pPr>
            <w:r w:rsidRPr="00C50B16">
              <w:rPr>
                <w:rFonts w:ascii="Times New Roman" w:hAnsi="Times New Roman" w:cs="Times New Roman"/>
                <w:b/>
                <w:sz w:val="20"/>
                <w:szCs w:val="20"/>
              </w:rPr>
              <w:t>Razem regulacyjny wymóg kapitałowy na ryzyko kredytowe</w:t>
            </w:r>
          </w:p>
        </w:tc>
        <w:tc>
          <w:tcPr>
            <w:tcW w:w="2268" w:type="dxa"/>
          </w:tcPr>
          <w:p w14:paraId="1559FD9E" w14:textId="4E1A0829" w:rsidR="005210CB"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 xml:space="preserve">4 </w:t>
            </w:r>
            <w:r w:rsidR="006C5246" w:rsidRPr="00C50B16">
              <w:rPr>
                <w:rFonts w:ascii="Times New Roman" w:hAnsi="Times New Roman" w:cs="Times New Roman"/>
                <w:sz w:val="20"/>
                <w:szCs w:val="20"/>
              </w:rPr>
              <w:t>295</w:t>
            </w:r>
          </w:p>
        </w:tc>
      </w:tr>
    </w:tbl>
    <w:p w14:paraId="5304D455" w14:textId="77777777" w:rsidR="002925C7" w:rsidRPr="00ED417D" w:rsidRDefault="002925C7" w:rsidP="00095BCE">
      <w:pPr>
        <w:spacing w:after="0" w:line="240" w:lineRule="auto"/>
        <w:jc w:val="both"/>
        <w:rPr>
          <w:rFonts w:ascii="Times New Roman" w:hAnsi="Times New Roman" w:cs="Times New Roman"/>
          <w:color w:val="FF0000"/>
          <w:sz w:val="24"/>
          <w:szCs w:val="24"/>
        </w:rPr>
      </w:pPr>
    </w:p>
    <w:p w14:paraId="7B52A222" w14:textId="77777777" w:rsidR="00163852" w:rsidRPr="00C50B16" w:rsidRDefault="00973CB3" w:rsidP="000C62C3">
      <w:pPr>
        <w:pStyle w:val="Akapitzlist"/>
        <w:numPr>
          <w:ilvl w:val="6"/>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C50B16">
        <w:rPr>
          <w:rFonts w:ascii="Times New Roman" w:hAnsi="Times New Roman" w:cs="Times New Roman"/>
          <w:b/>
          <w:sz w:val="24"/>
          <w:szCs w:val="24"/>
        </w:rPr>
        <w:t>Łączne wymogi kapitałowe z tytułu ryzyka kredytowego, wal</w:t>
      </w:r>
      <w:r w:rsidR="005210CB" w:rsidRPr="00C50B16">
        <w:rPr>
          <w:rFonts w:ascii="Times New Roman" w:hAnsi="Times New Roman" w:cs="Times New Roman"/>
          <w:b/>
          <w:sz w:val="24"/>
          <w:szCs w:val="24"/>
        </w:rPr>
        <w:t>utowego i operacyjnego</w:t>
      </w:r>
    </w:p>
    <w:p w14:paraId="2C22E9B7" w14:textId="77777777" w:rsidR="00313BB6" w:rsidRPr="00C50B16" w:rsidRDefault="00313BB6" w:rsidP="00236DB6">
      <w:pPr>
        <w:spacing w:after="0" w:line="240" w:lineRule="auto"/>
        <w:jc w:val="both"/>
        <w:rPr>
          <w:rFonts w:ascii="Times New Roman" w:hAnsi="Times New Roman" w:cs="Times New Roman"/>
          <w:sz w:val="24"/>
          <w:szCs w:val="24"/>
        </w:rPr>
      </w:pPr>
    </w:p>
    <w:tbl>
      <w:tblPr>
        <w:tblStyle w:val="Tabela-Siatka"/>
        <w:tblW w:w="8047" w:type="dxa"/>
        <w:tblInd w:w="283" w:type="dxa"/>
        <w:tblLook w:val="04A0" w:firstRow="1" w:lastRow="0" w:firstColumn="1" w:lastColumn="0" w:noHBand="0" w:noVBand="1"/>
      </w:tblPr>
      <w:tblGrid>
        <w:gridCol w:w="4078"/>
        <w:gridCol w:w="3969"/>
      </w:tblGrid>
      <w:tr w:rsidR="00C50B16" w:rsidRPr="00C50B16" w14:paraId="165C814B" w14:textId="77777777" w:rsidTr="000B408B">
        <w:tc>
          <w:tcPr>
            <w:tcW w:w="4078" w:type="dxa"/>
            <w:shd w:val="clear" w:color="auto" w:fill="D9D9D9" w:themeFill="background1" w:themeFillShade="D9"/>
            <w:vAlign w:val="center"/>
          </w:tcPr>
          <w:p w14:paraId="526CD298" w14:textId="77777777" w:rsidR="000B408B" w:rsidRPr="00C50B16" w:rsidRDefault="000B408B" w:rsidP="00FE4A23">
            <w:pPr>
              <w:tabs>
                <w:tab w:val="left" w:pos="1970"/>
              </w:tabs>
              <w:jc w:val="center"/>
              <w:rPr>
                <w:rFonts w:ascii="Times New Roman" w:hAnsi="Times New Roman" w:cs="Times New Roman"/>
                <w:b/>
                <w:i/>
                <w:sz w:val="20"/>
                <w:szCs w:val="20"/>
              </w:rPr>
            </w:pPr>
            <w:r w:rsidRPr="00C50B16">
              <w:rPr>
                <w:rFonts w:ascii="Times New Roman" w:hAnsi="Times New Roman" w:cs="Times New Roman"/>
                <w:b/>
                <w:i/>
                <w:sz w:val="20"/>
                <w:szCs w:val="20"/>
              </w:rPr>
              <w:t>Ryzyko</w:t>
            </w:r>
          </w:p>
        </w:tc>
        <w:tc>
          <w:tcPr>
            <w:tcW w:w="3969" w:type="dxa"/>
            <w:shd w:val="clear" w:color="auto" w:fill="D9D9D9" w:themeFill="background1" w:themeFillShade="D9"/>
            <w:vAlign w:val="center"/>
          </w:tcPr>
          <w:p w14:paraId="33D7E524" w14:textId="77777777" w:rsidR="000B408B" w:rsidRPr="00C50B16" w:rsidRDefault="000B408B" w:rsidP="00FE4A23">
            <w:pPr>
              <w:jc w:val="center"/>
              <w:rPr>
                <w:rFonts w:ascii="Times New Roman" w:hAnsi="Times New Roman" w:cs="Times New Roman"/>
                <w:b/>
                <w:i/>
                <w:sz w:val="20"/>
                <w:szCs w:val="20"/>
              </w:rPr>
            </w:pPr>
            <w:r w:rsidRPr="00C50B16">
              <w:rPr>
                <w:rFonts w:ascii="Times New Roman" w:hAnsi="Times New Roman" w:cs="Times New Roman"/>
                <w:b/>
                <w:i/>
                <w:sz w:val="20"/>
                <w:szCs w:val="20"/>
              </w:rPr>
              <w:t>Regulacyjny wymóg kapitałowy</w:t>
            </w:r>
          </w:p>
          <w:p w14:paraId="7C7E5A56" w14:textId="77777777" w:rsidR="000B408B" w:rsidRPr="00C50B16" w:rsidRDefault="000B408B" w:rsidP="00FE4A23">
            <w:pPr>
              <w:jc w:val="center"/>
              <w:rPr>
                <w:rFonts w:ascii="Times New Roman" w:hAnsi="Times New Roman" w:cs="Times New Roman"/>
                <w:b/>
                <w:i/>
                <w:sz w:val="20"/>
                <w:szCs w:val="20"/>
              </w:rPr>
            </w:pPr>
            <w:r w:rsidRPr="00C50B16">
              <w:rPr>
                <w:rFonts w:ascii="Times New Roman" w:hAnsi="Times New Roman" w:cs="Times New Roman"/>
                <w:b/>
                <w:i/>
                <w:sz w:val="20"/>
                <w:szCs w:val="20"/>
              </w:rPr>
              <w:t>tys. zł</w:t>
            </w:r>
          </w:p>
        </w:tc>
      </w:tr>
      <w:tr w:rsidR="00C50B16" w:rsidRPr="00C50B16" w14:paraId="050FC438" w14:textId="77777777" w:rsidTr="000B408B">
        <w:tc>
          <w:tcPr>
            <w:tcW w:w="4078" w:type="dxa"/>
          </w:tcPr>
          <w:p w14:paraId="75D8CB05" w14:textId="77777777" w:rsidR="000B408B" w:rsidRPr="00C50B16" w:rsidRDefault="000B408B" w:rsidP="000C62C3">
            <w:pPr>
              <w:pStyle w:val="Tekstpodstawowy2"/>
              <w:numPr>
                <w:ilvl w:val="0"/>
                <w:numId w:val="10"/>
              </w:numPr>
              <w:jc w:val="left"/>
              <w:rPr>
                <w:rFonts w:ascii="Times New Roman" w:hAnsi="Times New Roman" w:cs="Times New Roman"/>
                <w:sz w:val="20"/>
                <w:szCs w:val="20"/>
              </w:rPr>
            </w:pPr>
            <w:r w:rsidRPr="00C50B16">
              <w:rPr>
                <w:rFonts w:ascii="Times New Roman" w:hAnsi="Times New Roman" w:cs="Times New Roman"/>
                <w:sz w:val="20"/>
                <w:szCs w:val="20"/>
              </w:rPr>
              <w:t>kredytowe</w:t>
            </w:r>
          </w:p>
        </w:tc>
        <w:tc>
          <w:tcPr>
            <w:tcW w:w="3969" w:type="dxa"/>
          </w:tcPr>
          <w:p w14:paraId="18F1888A" w14:textId="17DD34BC" w:rsidR="000B408B"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 xml:space="preserve">4 </w:t>
            </w:r>
            <w:r w:rsidR="00C50B16" w:rsidRPr="00C50B16">
              <w:rPr>
                <w:rFonts w:ascii="Times New Roman" w:hAnsi="Times New Roman" w:cs="Times New Roman"/>
                <w:sz w:val="20"/>
                <w:szCs w:val="20"/>
              </w:rPr>
              <w:t>295</w:t>
            </w:r>
          </w:p>
        </w:tc>
      </w:tr>
      <w:tr w:rsidR="00C50B16" w:rsidRPr="00C50B16" w14:paraId="531B7D0C" w14:textId="77777777" w:rsidTr="000B408B">
        <w:tc>
          <w:tcPr>
            <w:tcW w:w="4078" w:type="dxa"/>
          </w:tcPr>
          <w:p w14:paraId="48E740A8" w14:textId="77777777" w:rsidR="000B408B" w:rsidRPr="00C50B16" w:rsidRDefault="000B408B" w:rsidP="000C62C3">
            <w:pPr>
              <w:pStyle w:val="Tekstpodstawowy2"/>
              <w:numPr>
                <w:ilvl w:val="0"/>
                <w:numId w:val="10"/>
              </w:numPr>
              <w:jc w:val="left"/>
              <w:rPr>
                <w:rFonts w:ascii="Times New Roman" w:hAnsi="Times New Roman" w:cs="Times New Roman"/>
                <w:sz w:val="20"/>
                <w:szCs w:val="20"/>
              </w:rPr>
            </w:pPr>
            <w:r w:rsidRPr="00C50B16">
              <w:rPr>
                <w:rFonts w:ascii="Times New Roman" w:hAnsi="Times New Roman" w:cs="Times New Roman"/>
                <w:sz w:val="20"/>
                <w:szCs w:val="20"/>
              </w:rPr>
              <w:t>operacyjne</w:t>
            </w:r>
          </w:p>
        </w:tc>
        <w:tc>
          <w:tcPr>
            <w:tcW w:w="3969" w:type="dxa"/>
          </w:tcPr>
          <w:p w14:paraId="6AA83C3A" w14:textId="292AB80E" w:rsidR="000B408B"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6</w:t>
            </w:r>
            <w:r w:rsidR="00C50B16" w:rsidRPr="00C50B16">
              <w:rPr>
                <w:rFonts w:ascii="Times New Roman" w:hAnsi="Times New Roman" w:cs="Times New Roman"/>
                <w:sz w:val="20"/>
                <w:szCs w:val="20"/>
              </w:rPr>
              <w:t>64</w:t>
            </w:r>
          </w:p>
        </w:tc>
      </w:tr>
      <w:tr w:rsidR="00C50B16" w:rsidRPr="00C50B16" w14:paraId="6E626D5B" w14:textId="77777777" w:rsidTr="000B408B">
        <w:tc>
          <w:tcPr>
            <w:tcW w:w="4078" w:type="dxa"/>
          </w:tcPr>
          <w:p w14:paraId="6099187D" w14:textId="77777777" w:rsidR="000B408B" w:rsidRPr="00C50B16" w:rsidRDefault="000B408B" w:rsidP="000C62C3">
            <w:pPr>
              <w:pStyle w:val="Tekstpodstawowy2"/>
              <w:numPr>
                <w:ilvl w:val="0"/>
                <w:numId w:val="10"/>
              </w:numPr>
              <w:jc w:val="left"/>
              <w:rPr>
                <w:rFonts w:ascii="Times New Roman" w:hAnsi="Times New Roman" w:cs="Times New Roman"/>
                <w:sz w:val="20"/>
                <w:szCs w:val="20"/>
              </w:rPr>
            </w:pPr>
            <w:r w:rsidRPr="00C50B16">
              <w:rPr>
                <w:rFonts w:ascii="Times New Roman" w:hAnsi="Times New Roman" w:cs="Times New Roman"/>
                <w:sz w:val="20"/>
                <w:szCs w:val="20"/>
              </w:rPr>
              <w:t>walutowe</w:t>
            </w:r>
          </w:p>
        </w:tc>
        <w:tc>
          <w:tcPr>
            <w:tcW w:w="3969" w:type="dxa"/>
          </w:tcPr>
          <w:p w14:paraId="6C4D5929" w14:textId="3721219A" w:rsidR="000B408B" w:rsidRPr="00C50B16" w:rsidRDefault="00A803C7" w:rsidP="00A803C7">
            <w:pPr>
              <w:pStyle w:val="Tekstpodstawowywcity"/>
              <w:spacing w:after="0"/>
              <w:ind w:left="0"/>
              <w:jc w:val="right"/>
              <w:rPr>
                <w:rFonts w:ascii="Times New Roman" w:hAnsi="Times New Roman" w:cs="Times New Roman"/>
                <w:sz w:val="20"/>
                <w:szCs w:val="20"/>
              </w:rPr>
            </w:pPr>
            <w:r w:rsidRPr="00C50B16">
              <w:rPr>
                <w:rFonts w:ascii="Times New Roman" w:hAnsi="Times New Roman" w:cs="Times New Roman"/>
                <w:sz w:val="20"/>
                <w:szCs w:val="20"/>
              </w:rPr>
              <w:t>0</w:t>
            </w:r>
          </w:p>
        </w:tc>
      </w:tr>
      <w:tr w:rsidR="00C50B16" w:rsidRPr="00C50B16" w14:paraId="79B42D60" w14:textId="77777777" w:rsidTr="000B408B">
        <w:tc>
          <w:tcPr>
            <w:tcW w:w="4078" w:type="dxa"/>
          </w:tcPr>
          <w:p w14:paraId="510A38D0" w14:textId="77777777" w:rsidR="000B408B" w:rsidRPr="00C50B16" w:rsidRDefault="000B408B" w:rsidP="00FE4A23">
            <w:pPr>
              <w:pStyle w:val="Tekstpodstawowy2"/>
              <w:ind w:left="1" w:hanging="1"/>
              <w:jc w:val="left"/>
              <w:rPr>
                <w:rFonts w:ascii="Times New Roman" w:eastAsiaTheme="minorHAnsi" w:hAnsi="Times New Roman" w:cs="Times New Roman"/>
                <w:b/>
                <w:sz w:val="20"/>
                <w:szCs w:val="20"/>
                <w:lang w:eastAsia="en-US"/>
              </w:rPr>
            </w:pPr>
            <w:r w:rsidRPr="00C50B16">
              <w:rPr>
                <w:rFonts w:ascii="Times New Roman" w:eastAsiaTheme="minorHAnsi" w:hAnsi="Times New Roman" w:cs="Times New Roman"/>
                <w:b/>
                <w:sz w:val="20"/>
                <w:szCs w:val="20"/>
                <w:lang w:eastAsia="en-US"/>
              </w:rPr>
              <w:t>RAZEM</w:t>
            </w:r>
          </w:p>
        </w:tc>
        <w:tc>
          <w:tcPr>
            <w:tcW w:w="3969" w:type="dxa"/>
          </w:tcPr>
          <w:p w14:paraId="10326E0A" w14:textId="7A7137E7" w:rsidR="000B408B" w:rsidRPr="00C50B16" w:rsidRDefault="00C50B16" w:rsidP="00A803C7">
            <w:pPr>
              <w:pStyle w:val="Tekstpodstawowywcity"/>
              <w:spacing w:after="0"/>
              <w:ind w:left="0"/>
              <w:jc w:val="right"/>
              <w:rPr>
                <w:rFonts w:ascii="Times New Roman" w:hAnsi="Times New Roman" w:cs="Times New Roman"/>
                <w:b/>
                <w:sz w:val="20"/>
                <w:szCs w:val="20"/>
              </w:rPr>
            </w:pPr>
            <w:r w:rsidRPr="00C50B16">
              <w:rPr>
                <w:rFonts w:ascii="Times New Roman" w:hAnsi="Times New Roman" w:cs="Times New Roman"/>
                <w:b/>
                <w:sz w:val="20"/>
                <w:szCs w:val="20"/>
              </w:rPr>
              <w:t>4 959</w:t>
            </w:r>
          </w:p>
        </w:tc>
      </w:tr>
    </w:tbl>
    <w:p w14:paraId="103DC17A" w14:textId="77777777" w:rsidR="005210CB" w:rsidRPr="00ED417D" w:rsidRDefault="005210CB" w:rsidP="00236DB6">
      <w:pPr>
        <w:spacing w:after="0" w:line="240" w:lineRule="auto"/>
        <w:jc w:val="both"/>
        <w:rPr>
          <w:rFonts w:ascii="Times New Roman" w:hAnsi="Times New Roman" w:cs="Times New Roman"/>
          <w:color w:val="FF0000"/>
          <w:sz w:val="24"/>
          <w:szCs w:val="24"/>
        </w:rPr>
      </w:pPr>
    </w:p>
    <w:p w14:paraId="2C3413B4" w14:textId="77777777" w:rsidR="006B2447" w:rsidRPr="00C50B16" w:rsidRDefault="00D40756"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C50B16">
        <w:rPr>
          <w:rFonts w:ascii="Century" w:hAnsi="Century" w:cs="Times New Roman"/>
          <w:b/>
          <w:sz w:val="24"/>
          <w:szCs w:val="24"/>
        </w:rPr>
        <w:lastRenderedPageBreak/>
        <w:t>Ryzyko kredytowe</w:t>
      </w:r>
    </w:p>
    <w:p w14:paraId="64E4A493" w14:textId="77777777" w:rsidR="00D40756" w:rsidRPr="00C50B16" w:rsidRDefault="00D40756" w:rsidP="00A509B1">
      <w:pPr>
        <w:spacing w:after="0" w:line="240" w:lineRule="auto"/>
        <w:jc w:val="both"/>
        <w:rPr>
          <w:rFonts w:ascii="Times New Roman" w:hAnsi="Times New Roman" w:cs="Times New Roman"/>
          <w:sz w:val="24"/>
          <w:szCs w:val="24"/>
        </w:rPr>
      </w:pPr>
    </w:p>
    <w:p w14:paraId="328A807B" w14:textId="77777777" w:rsidR="006B2447" w:rsidRPr="00C50B16" w:rsidRDefault="00A77C55"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C50B16">
        <w:rPr>
          <w:rFonts w:ascii="Times New Roman" w:hAnsi="Times New Roman" w:cs="Times New Roman"/>
          <w:b/>
          <w:sz w:val="24"/>
          <w:szCs w:val="24"/>
        </w:rPr>
        <w:t>Definicja dla należności</w:t>
      </w:r>
      <w:r w:rsidR="00D40A8D" w:rsidRPr="00C50B16">
        <w:rPr>
          <w:rFonts w:ascii="Times New Roman" w:hAnsi="Times New Roman" w:cs="Times New Roman"/>
          <w:b/>
          <w:sz w:val="24"/>
          <w:szCs w:val="24"/>
        </w:rPr>
        <w:t>: nieobsługiwanych i restrukturyzowanych oraz</w:t>
      </w:r>
      <w:r w:rsidRPr="00C50B16">
        <w:rPr>
          <w:rFonts w:ascii="Times New Roman" w:hAnsi="Times New Roman" w:cs="Times New Roman"/>
          <w:b/>
          <w:sz w:val="24"/>
          <w:szCs w:val="24"/>
        </w:rPr>
        <w:t xml:space="preserve"> </w:t>
      </w:r>
      <w:r w:rsidR="00A509B1" w:rsidRPr="00C50B16">
        <w:rPr>
          <w:rFonts w:ascii="Times New Roman" w:hAnsi="Times New Roman" w:cs="Times New Roman"/>
          <w:b/>
          <w:sz w:val="24"/>
          <w:szCs w:val="24"/>
        </w:rPr>
        <w:t>przeterminowanych i zagrożonych, podejścia w zakresie korekt wartości i rezerw celowych/odpisów dotyczących odsetek, w tym również rezerwy na ryzyko</w:t>
      </w:r>
    </w:p>
    <w:p w14:paraId="066FC9CD" w14:textId="77777777" w:rsidR="00854A8A" w:rsidRPr="00C50B16" w:rsidRDefault="00854A8A" w:rsidP="00854A8A">
      <w:pPr>
        <w:spacing w:after="0" w:line="240" w:lineRule="auto"/>
        <w:ind w:left="360"/>
        <w:jc w:val="both"/>
        <w:rPr>
          <w:rFonts w:ascii="Times New Roman" w:hAnsi="Times New Roman" w:cs="Times New Roman"/>
          <w:sz w:val="24"/>
          <w:szCs w:val="24"/>
        </w:rPr>
      </w:pPr>
    </w:p>
    <w:p w14:paraId="099D6C28" w14:textId="77777777" w:rsidR="00D40A8D" w:rsidRPr="00C50B16" w:rsidRDefault="00D40A8D" w:rsidP="001B5A42">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Ekspozycje nieobsługiwane i restrukturyzowane są zdefiniowane w Rozporządzeniu wykonawczym Komisji (UE) nr 680/2014 z dnia 16 kwietnia 2014 r. ustanawiającym wykonawcze standardy techniczne dotyczące sprawozdawczości nadzorczej instytucji zgodnie z</w:t>
      </w:r>
      <w:r w:rsidR="0003081D" w:rsidRPr="00C50B16">
        <w:rPr>
          <w:rFonts w:ascii="Times New Roman" w:hAnsi="Times New Roman" w:cs="Times New Roman"/>
          <w:sz w:val="24"/>
          <w:szCs w:val="24"/>
        </w:rPr>
        <w:t xml:space="preserve"> R</w:t>
      </w:r>
      <w:r w:rsidRPr="00C50B16">
        <w:rPr>
          <w:rFonts w:ascii="Times New Roman" w:hAnsi="Times New Roman" w:cs="Times New Roman"/>
          <w:sz w:val="24"/>
          <w:szCs w:val="24"/>
        </w:rPr>
        <w:t>ozporządzeniem Parlamentu Europejskiego i Rady (UE) nr 575/2013 (dalej: Rozporządzenie 680/2014).</w:t>
      </w:r>
    </w:p>
    <w:p w14:paraId="774AF439" w14:textId="77777777" w:rsidR="00D40A8D" w:rsidRPr="00C50B16" w:rsidRDefault="00D40A8D" w:rsidP="001B5A42">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Zgodnie z Załącznikiem V do Rozporządzenia 680/2014, za ekspozycje nieobsługiwane uznaje się ekspozycje, które spełniają dowolne z poniższych kryteriów:</w:t>
      </w:r>
    </w:p>
    <w:p w14:paraId="118829AB" w14:textId="77777777" w:rsidR="00D40A8D" w:rsidRPr="00C50B16" w:rsidRDefault="00D40A8D" w:rsidP="000C62C3">
      <w:pPr>
        <w:pStyle w:val="Akapitzlist"/>
        <w:numPr>
          <w:ilvl w:val="0"/>
          <w:numId w:val="12"/>
        </w:num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przeterminowanie istotnych ekspozycji o ponad 90 dni,</w:t>
      </w:r>
    </w:p>
    <w:p w14:paraId="2FB33B72" w14:textId="77777777" w:rsidR="00D40A8D" w:rsidRPr="00C50B16" w:rsidRDefault="00D40A8D" w:rsidP="000C62C3">
      <w:pPr>
        <w:pStyle w:val="Akapitzlist"/>
        <w:numPr>
          <w:ilvl w:val="0"/>
          <w:numId w:val="12"/>
        </w:num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małe prawdopodobieństwo wywiązania się w całości przez dłużnika ze swoich zobowiązań kredytowych bez konieczności realizacji zabezpieczenia, niezależnie od istnienia przeterminowanych kwot lub liczby dni przeterminowania.</w:t>
      </w:r>
    </w:p>
    <w:p w14:paraId="09FC5258" w14:textId="77777777" w:rsidR="00D40A8D" w:rsidRPr="00C50B16" w:rsidRDefault="00D40A8D" w:rsidP="00D40A8D">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Jednocześnie ekspozycje, w odniesieniu do których uznaje się, że miało miejsce niewykonanie zobowiązania zgodnie z art. 178 CRR, oraz ekspozycje, w odniesieniu do których stwierdzono utratę wartości zgodnie z mającymi zastosowanie standardami rachunkowości, zawsze uznaje się za ekspozycje nieobsługiwane.</w:t>
      </w:r>
      <w:r w:rsidR="00640079" w:rsidRPr="00C50B16">
        <w:rPr>
          <w:rFonts w:ascii="Times New Roman" w:hAnsi="Times New Roman" w:cs="Times New Roman"/>
          <w:sz w:val="24"/>
          <w:szCs w:val="24"/>
        </w:rPr>
        <w:t xml:space="preserve"> W praktyce za ekspozycje nieobsługiwane Bank uznaje ekspozycje zagrożone.</w:t>
      </w:r>
    </w:p>
    <w:p w14:paraId="2FEFA9D9" w14:textId="77777777" w:rsidR="00D40A8D" w:rsidRPr="00C50B16" w:rsidRDefault="00D40A8D" w:rsidP="002E3842">
      <w:pPr>
        <w:spacing w:after="0" w:line="240" w:lineRule="auto"/>
        <w:jc w:val="both"/>
        <w:rPr>
          <w:rFonts w:ascii="Times New Roman" w:hAnsi="Times New Roman" w:cs="Times New Roman"/>
          <w:sz w:val="24"/>
          <w:szCs w:val="24"/>
        </w:rPr>
      </w:pPr>
    </w:p>
    <w:p w14:paraId="1853C64C" w14:textId="77777777" w:rsidR="00D07BEA" w:rsidRPr="00C50B16" w:rsidRDefault="00DA1568" w:rsidP="002E3842">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N</w:t>
      </w:r>
      <w:r w:rsidR="002E3842" w:rsidRPr="00C50B16">
        <w:rPr>
          <w:rFonts w:ascii="Times New Roman" w:hAnsi="Times New Roman" w:cs="Times New Roman"/>
          <w:sz w:val="24"/>
          <w:szCs w:val="24"/>
        </w:rPr>
        <w:t>ależnoś</w:t>
      </w:r>
      <w:r w:rsidRPr="00C50B16">
        <w:rPr>
          <w:rFonts w:ascii="Times New Roman" w:hAnsi="Times New Roman" w:cs="Times New Roman"/>
          <w:sz w:val="24"/>
          <w:szCs w:val="24"/>
        </w:rPr>
        <w:t>ciami</w:t>
      </w:r>
      <w:r w:rsidR="002E3842" w:rsidRPr="00C50B16">
        <w:rPr>
          <w:rFonts w:ascii="Times New Roman" w:hAnsi="Times New Roman" w:cs="Times New Roman"/>
          <w:sz w:val="24"/>
          <w:szCs w:val="24"/>
        </w:rPr>
        <w:t xml:space="preserve"> zagrożo</w:t>
      </w:r>
      <w:r w:rsidRPr="00C50B16">
        <w:rPr>
          <w:rFonts w:ascii="Times New Roman" w:hAnsi="Times New Roman" w:cs="Times New Roman"/>
          <w:sz w:val="24"/>
          <w:szCs w:val="24"/>
        </w:rPr>
        <w:t>nymi są ekspozycje kredytowe zaliczone do kategorii poniżej standardu, wątpliwej i straconej zgodnie z R</w:t>
      </w:r>
      <w:r w:rsidR="00D07BEA" w:rsidRPr="00C50B16">
        <w:rPr>
          <w:rFonts w:ascii="Times New Roman" w:hAnsi="Times New Roman" w:cs="Times New Roman"/>
          <w:sz w:val="24"/>
          <w:szCs w:val="24"/>
        </w:rPr>
        <w:t>ozporządzenie</w:t>
      </w:r>
      <w:r w:rsidRPr="00C50B16">
        <w:rPr>
          <w:rFonts w:ascii="Times New Roman" w:hAnsi="Times New Roman" w:cs="Times New Roman"/>
          <w:sz w:val="24"/>
          <w:szCs w:val="24"/>
        </w:rPr>
        <w:t>m</w:t>
      </w:r>
      <w:r w:rsidR="00D07BEA" w:rsidRPr="00C50B16">
        <w:rPr>
          <w:rFonts w:ascii="Times New Roman" w:hAnsi="Times New Roman" w:cs="Times New Roman"/>
          <w:sz w:val="24"/>
          <w:szCs w:val="24"/>
        </w:rPr>
        <w:t xml:space="preserve"> Ministra Finansów </w:t>
      </w:r>
      <w:r w:rsidR="00D07BEA" w:rsidRPr="00C50B16">
        <w:rPr>
          <w:rFonts w:ascii="Times New Roman" w:hAnsi="Times New Roman" w:cs="Times New Roman"/>
          <w:i/>
          <w:sz w:val="24"/>
          <w:szCs w:val="24"/>
        </w:rPr>
        <w:t>w sprawie zasad tworzenia rezerw na ryzyko związane z działalnością banków</w:t>
      </w:r>
    </w:p>
    <w:p w14:paraId="60EB0AA1" w14:textId="77777777" w:rsidR="00D07BEA" w:rsidRPr="00C50B16" w:rsidRDefault="00D07BEA" w:rsidP="002E3842">
      <w:pPr>
        <w:spacing w:after="0" w:line="240" w:lineRule="auto"/>
        <w:jc w:val="both"/>
        <w:rPr>
          <w:rFonts w:ascii="Times New Roman" w:hAnsi="Times New Roman" w:cs="Times New Roman"/>
          <w:sz w:val="24"/>
          <w:szCs w:val="24"/>
        </w:rPr>
      </w:pPr>
    </w:p>
    <w:p w14:paraId="3403A518" w14:textId="77777777" w:rsidR="00FD070C" w:rsidRPr="00C50B16" w:rsidRDefault="00FD070C" w:rsidP="002E3842">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Bank tworzy rezerwy celowe na ekspozycje zagrożone oraz odpisy na odsetki od tych ekspozycji w wysokości:</w:t>
      </w:r>
    </w:p>
    <w:p w14:paraId="0AE1650F" w14:textId="77777777" w:rsidR="00FD070C" w:rsidRPr="00C50B16" w:rsidRDefault="00FD070C" w:rsidP="000C62C3">
      <w:pPr>
        <w:pStyle w:val="Akapitzlist"/>
        <w:numPr>
          <w:ilvl w:val="0"/>
          <w:numId w:val="12"/>
        </w:num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20% w zakresie ekspozycji w kategorii poniżej standardu,</w:t>
      </w:r>
    </w:p>
    <w:p w14:paraId="03EEB40A" w14:textId="77777777" w:rsidR="00FD070C" w:rsidRPr="00C50B16" w:rsidRDefault="00FD070C" w:rsidP="000C62C3">
      <w:pPr>
        <w:pStyle w:val="Akapitzlist"/>
        <w:numPr>
          <w:ilvl w:val="0"/>
          <w:numId w:val="12"/>
        </w:num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50% w zakresie ekspozycji w kategorii wątpliwej,</w:t>
      </w:r>
    </w:p>
    <w:p w14:paraId="777D90F6" w14:textId="77777777" w:rsidR="00FD070C" w:rsidRPr="00C50B16" w:rsidRDefault="00FD070C" w:rsidP="000C62C3">
      <w:pPr>
        <w:pStyle w:val="Akapitzlist"/>
        <w:numPr>
          <w:ilvl w:val="0"/>
          <w:numId w:val="12"/>
        </w:num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100% w zakresie ekspozycji w kategorii straconej,</w:t>
      </w:r>
    </w:p>
    <w:p w14:paraId="272F2973" w14:textId="77777777" w:rsidR="00FD070C" w:rsidRPr="00C50B16" w:rsidRDefault="00FD070C" w:rsidP="00FD070C">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po uwzględnieniu pomniejszeń podstawy naliczania rezerw i odpisów.</w:t>
      </w:r>
    </w:p>
    <w:p w14:paraId="5755F2D3" w14:textId="77777777" w:rsidR="00FD070C" w:rsidRPr="00C50B16" w:rsidRDefault="00FD070C" w:rsidP="002E3842">
      <w:pPr>
        <w:spacing w:after="0" w:line="240" w:lineRule="auto"/>
        <w:jc w:val="both"/>
        <w:rPr>
          <w:rFonts w:ascii="Times New Roman" w:hAnsi="Times New Roman" w:cs="Times New Roman"/>
          <w:sz w:val="24"/>
          <w:szCs w:val="24"/>
        </w:rPr>
      </w:pPr>
    </w:p>
    <w:p w14:paraId="17515E86" w14:textId="253B05C8" w:rsidR="00FD070C" w:rsidRPr="00C50B16" w:rsidRDefault="00FD070C" w:rsidP="002E3842">
      <w:pPr>
        <w:spacing w:after="0" w:line="240" w:lineRule="auto"/>
        <w:jc w:val="both"/>
        <w:rPr>
          <w:rFonts w:ascii="Times New Roman" w:hAnsi="Times New Roman" w:cs="Times New Roman"/>
          <w:sz w:val="24"/>
          <w:szCs w:val="24"/>
        </w:rPr>
      </w:pPr>
      <w:r w:rsidRPr="00C50B16">
        <w:rPr>
          <w:rFonts w:ascii="Times New Roman" w:hAnsi="Times New Roman" w:cs="Times New Roman"/>
          <w:sz w:val="24"/>
          <w:szCs w:val="24"/>
        </w:rPr>
        <w:t>Bank tworzy rezerwę na ryzyko ogóln</w:t>
      </w:r>
      <w:r w:rsidR="006A2DF3" w:rsidRPr="00C50B16">
        <w:rPr>
          <w:rFonts w:ascii="Times New Roman" w:hAnsi="Times New Roman" w:cs="Times New Roman"/>
          <w:sz w:val="24"/>
          <w:szCs w:val="24"/>
        </w:rPr>
        <w:t>e zgodnie z wewnętrzną procedur</w:t>
      </w:r>
      <w:r w:rsidRPr="00C50B16">
        <w:rPr>
          <w:rFonts w:ascii="Times New Roman" w:hAnsi="Times New Roman" w:cs="Times New Roman"/>
          <w:sz w:val="24"/>
          <w:szCs w:val="24"/>
        </w:rPr>
        <w:t xml:space="preserve">ą, przy czym na ryzyko kredytowe </w:t>
      </w:r>
      <w:r w:rsidR="003249EF" w:rsidRPr="00C50B16">
        <w:rPr>
          <w:rFonts w:ascii="Times New Roman" w:hAnsi="Times New Roman" w:cs="Times New Roman"/>
          <w:sz w:val="24"/>
          <w:szCs w:val="24"/>
        </w:rPr>
        <w:t xml:space="preserve">zgodnie z „Instrukcją </w:t>
      </w:r>
      <w:r w:rsidR="001D344C" w:rsidRPr="00C50B16">
        <w:rPr>
          <w:rFonts w:ascii="Times New Roman" w:hAnsi="Times New Roman" w:cs="Times New Roman"/>
          <w:sz w:val="24"/>
          <w:szCs w:val="24"/>
        </w:rPr>
        <w:t xml:space="preserve">zasady klasyfikacji i przeglądu ekspozycji kredytowych </w:t>
      </w:r>
      <w:r w:rsidR="001D344C" w:rsidRPr="00C50B16">
        <w:rPr>
          <w:rFonts w:ascii="Times New Roman" w:hAnsi="Times New Roman" w:cs="Times New Roman"/>
          <w:sz w:val="24"/>
          <w:szCs w:val="24"/>
        </w:rPr>
        <w:br/>
        <w:t>i tworzenia rezerw celowych”</w:t>
      </w:r>
    </w:p>
    <w:p w14:paraId="459E510D" w14:textId="77777777" w:rsidR="001D344C" w:rsidRPr="00ED417D" w:rsidRDefault="001D344C" w:rsidP="002E3842">
      <w:pPr>
        <w:spacing w:after="0" w:line="240" w:lineRule="auto"/>
        <w:jc w:val="both"/>
        <w:rPr>
          <w:rFonts w:ascii="Times New Roman" w:hAnsi="Times New Roman" w:cs="Times New Roman"/>
          <w:color w:val="FF0000"/>
          <w:sz w:val="24"/>
          <w:szCs w:val="24"/>
        </w:rPr>
      </w:pPr>
    </w:p>
    <w:p w14:paraId="57DFFB99" w14:textId="77777777" w:rsidR="00752A48" w:rsidRPr="00950F27" w:rsidRDefault="00E76ADB"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950F27">
        <w:rPr>
          <w:rFonts w:ascii="Times New Roman" w:hAnsi="Times New Roman" w:cs="Times New Roman"/>
          <w:b/>
          <w:sz w:val="24"/>
          <w:szCs w:val="24"/>
        </w:rPr>
        <w:t xml:space="preserve"> Kategorie</w:t>
      </w:r>
      <w:r w:rsidR="00B650B0" w:rsidRPr="00950F27">
        <w:rPr>
          <w:rFonts w:ascii="Times New Roman" w:hAnsi="Times New Roman" w:cs="Times New Roman"/>
          <w:b/>
          <w:sz w:val="24"/>
          <w:szCs w:val="24"/>
        </w:rPr>
        <w:t xml:space="preserve"> ekspozycji kredytowych, w tym </w:t>
      </w:r>
      <w:r w:rsidRPr="00950F27">
        <w:rPr>
          <w:rFonts w:ascii="Times New Roman" w:hAnsi="Times New Roman" w:cs="Times New Roman"/>
          <w:b/>
          <w:sz w:val="24"/>
          <w:szCs w:val="24"/>
        </w:rPr>
        <w:t>kategorie</w:t>
      </w:r>
      <w:r w:rsidR="00B650B0" w:rsidRPr="00950F27">
        <w:rPr>
          <w:rFonts w:ascii="Times New Roman" w:hAnsi="Times New Roman" w:cs="Times New Roman"/>
          <w:b/>
          <w:sz w:val="24"/>
          <w:szCs w:val="24"/>
        </w:rPr>
        <w:t xml:space="preserve"> istotne</w:t>
      </w:r>
    </w:p>
    <w:p w14:paraId="46C3FD50" w14:textId="77777777" w:rsidR="00752A48" w:rsidRPr="000D008B" w:rsidRDefault="00752A48" w:rsidP="002E3842">
      <w:pPr>
        <w:spacing w:after="0" w:line="240" w:lineRule="auto"/>
        <w:jc w:val="both"/>
        <w:rPr>
          <w:rFonts w:ascii="Times New Roman" w:hAnsi="Times New Roman" w:cs="Times New Roman"/>
          <w:sz w:val="24"/>
          <w:szCs w:val="24"/>
        </w:rPr>
      </w:pPr>
    </w:p>
    <w:p w14:paraId="67D9D302" w14:textId="77777777" w:rsidR="00752A48" w:rsidRPr="000D008B" w:rsidRDefault="00F81926" w:rsidP="002E3842">
      <w:pPr>
        <w:spacing w:after="0" w:line="240" w:lineRule="auto"/>
        <w:jc w:val="both"/>
        <w:rPr>
          <w:rFonts w:ascii="Times New Roman" w:hAnsi="Times New Roman" w:cs="Times New Roman"/>
          <w:sz w:val="24"/>
          <w:szCs w:val="24"/>
        </w:rPr>
      </w:pPr>
      <w:r w:rsidRPr="000D008B">
        <w:rPr>
          <w:rFonts w:ascii="Times New Roman" w:hAnsi="Times New Roman" w:cs="Times New Roman"/>
          <w:sz w:val="24"/>
          <w:szCs w:val="24"/>
        </w:rPr>
        <w:t>Bank dokonuje podziału ekspozycji kredytowych na następujące kategorie:</w:t>
      </w:r>
    </w:p>
    <w:p w14:paraId="2A80D19D" w14:textId="77777777" w:rsidR="00F81926" w:rsidRPr="000D008B" w:rsidRDefault="00F81926" w:rsidP="002E3842">
      <w:pPr>
        <w:spacing w:after="0" w:line="240" w:lineRule="auto"/>
        <w:jc w:val="both"/>
        <w:rPr>
          <w:rFonts w:ascii="Times New Roman" w:hAnsi="Times New Roman" w:cs="Times New Roman"/>
          <w:sz w:val="24"/>
          <w:szCs w:val="24"/>
        </w:rPr>
      </w:pPr>
    </w:p>
    <w:tbl>
      <w:tblPr>
        <w:tblStyle w:val="Tabela-Siatka"/>
        <w:tblW w:w="9005" w:type="dxa"/>
        <w:tblInd w:w="283" w:type="dxa"/>
        <w:tblLook w:val="04A0" w:firstRow="1" w:lastRow="0" w:firstColumn="1" w:lastColumn="0" w:noHBand="0" w:noVBand="1"/>
      </w:tblPr>
      <w:tblGrid>
        <w:gridCol w:w="4891"/>
        <w:gridCol w:w="2192"/>
        <w:gridCol w:w="1922"/>
      </w:tblGrid>
      <w:tr w:rsidR="00ED417D" w:rsidRPr="00ED417D" w14:paraId="482273BF" w14:textId="77777777" w:rsidTr="006D450F">
        <w:tc>
          <w:tcPr>
            <w:tcW w:w="4891" w:type="dxa"/>
            <w:shd w:val="clear" w:color="auto" w:fill="D9D9D9" w:themeFill="background1" w:themeFillShade="D9"/>
            <w:vAlign w:val="center"/>
          </w:tcPr>
          <w:p w14:paraId="2AF63E5E" w14:textId="77777777" w:rsidR="00E926B9" w:rsidRPr="006D450F" w:rsidRDefault="00E76ADB" w:rsidP="00E76ADB">
            <w:pPr>
              <w:tabs>
                <w:tab w:val="left" w:pos="1970"/>
              </w:tabs>
              <w:jc w:val="center"/>
              <w:rPr>
                <w:rFonts w:ascii="Times New Roman" w:hAnsi="Times New Roman" w:cs="Times New Roman"/>
                <w:b/>
                <w:i/>
                <w:sz w:val="20"/>
                <w:szCs w:val="20"/>
              </w:rPr>
            </w:pPr>
            <w:r w:rsidRPr="006D450F">
              <w:rPr>
                <w:rFonts w:ascii="Times New Roman" w:hAnsi="Times New Roman" w:cs="Times New Roman"/>
                <w:b/>
                <w:i/>
                <w:sz w:val="20"/>
                <w:szCs w:val="20"/>
              </w:rPr>
              <w:t xml:space="preserve"> Kategoria</w:t>
            </w:r>
            <w:r w:rsidR="00E926B9" w:rsidRPr="006D450F">
              <w:rPr>
                <w:rFonts w:ascii="Times New Roman" w:hAnsi="Times New Roman" w:cs="Times New Roman"/>
                <w:b/>
                <w:i/>
                <w:sz w:val="20"/>
                <w:szCs w:val="20"/>
              </w:rPr>
              <w:t xml:space="preserve"> ekspozycji</w:t>
            </w:r>
          </w:p>
        </w:tc>
        <w:tc>
          <w:tcPr>
            <w:tcW w:w="2192" w:type="dxa"/>
            <w:shd w:val="clear" w:color="auto" w:fill="D9D9D9" w:themeFill="background1" w:themeFillShade="D9"/>
            <w:vAlign w:val="center"/>
          </w:tcPr>
          <w:p w14:paraId="43C356D1" w14:textId="77777777" w:rsidR="00E926B9" w:rsidRPr="006D450F" w:rsidRDefault="00E926B9" w:rsidP="00FE4A23">
            <w:pPr>
              <w:jc w:val="center"/>
              <w:rPr>
                <w:rFonts w:ascii="Times New Roman" w:hAnsi="Times New Roman" w:cs="Times New Roman"/>
                <w:b/>
                <w:i/>
                <w:sz w:val="20"/>
                <w:szCs w:val="20"/>
              </w:rPr>
            </w:pPr>
            <w:r w:rsidRPr="006D450F">
              <w:rPr>
                <w:rFonts w:ascii="Times New Roman" w:hAnsi="Times New Roman" w:cs="Times New Roman"/>
                <w:b/>
                <w:i/>
                <w:sz w:val="20"/>
                <w:szCs w:val="20"/>
              </w:rPr>
              <w:t>wartość</w:t>
            </w:r>
          </w:p>
          <w:p w14:paraId="37E67262" w14:textId="77777777" w:rsidR="00E926B9" w:rsidRPr="006D450F" w:rsidRDefault="00E926B9" w:rsidP="00FE4A23">
            <w:pPr>
              <w:jc w:val="center"/>
              <w:rPr>
                <w:rFonts w:ascii="Times New Roman" w:hAnsi="Times New Roman" w:cs="Times New Roman"/>
                <w:b/>
                <w:i/>
                <w:sz w:val="20"/>
                <w:szCs w:val="20"/>
              </w:rPr>
            </w:pPr>
            <w:r w:rsidRPr="006D450F">
              <w:rPr>
                <w:rFonts w:ascii="Times New Roman" w:hAnsi="Times New Roman" w:cs="Times New Roman"/>
                <w:b/>
                <w:i/>
                <w:sz w:val="20"/>
                <w:szCs w:val="20"/>
              </w:rPr>
              <w:t>tys. zł</w:t>
            </w:r>
          </w:p>
        </w:tc>
        <w:tc>
          <w:tcPr>
            <w:tcW w:w="1922" w:type="dxa"/>
            <w:shd w:val="clear" w:color="auto" w:fill="D9D9D9" w:themeFill="background1" w:themeFillShade="D9"/>
          </w:tcPr>
          <w:p w14:paraId="1EBEE701" w14:textId="77777777" w:rsidR="00E926B9" w:rsidRPr="006D450F" w:rsidRDefault="00E926B9" w:rsidP="00FE4A23">
            <w:pPr>
              <w:jc w:val="center"/>
              <w:rPr>
                <w:rFonts w:ascii="Times New Roman" w:hAnsi="Times New Roman" w:cs="Times New Roman"/>
                <w:b/>
                <w:i/>
                <w:sz w:val="20"/>
                <w:szCs w:val="20"/>
              </w:rPr>
            </w:pPr>
            <w:r w:rsidRPr="006D450F">
              <w:rPr>
                <w:rFonts w:ascii="Times New Roman" w:hAnsi="Times New Roman" w:cs="Times New Roman"/>
                <w:b/>
                <w:i/>
                <w:sz w:val="20"/>
                <w:szCs w:val="20"/>
              </w:rPr>
              <w:t xml:space="preserve">Czy </w:t>
            </w:r>
            <w:r w:rsidR="00E76ADB" w:rsidRPr="006D450F">
              <w:rPr>
                <w:rFonts w:ascii="Times New Roman" w:hAnsi="Times New Roman" w:cs="Times New Roman"/>
                <w:b/>
                <w:i/>
                <w:sz w:val="20"/>
                <w:szCs w:val="20"/>
              </w:rPr>
              <w:t xml:space="preserve"> kategoria</w:t>
            </w:r>
            <w:r w:rsidRPr="006D450F">
              <w:rPr>
                <w:rFonts w:ascii="Times New Roman" w:hAnsi="Times New Roman" w:cs="Times New Roman"/>
                <w:b/>
                <w:i/>
                <w:sz w:val="20"/>
                <w:szCs w:val="20"/>
              </w:rPr>
              <w:t xml:space="preserve"> jest istotna</w:t>
            </w:r>
          </w:p>
          <w:p w14:paraId="1CB0DD31" w14:textId="77777777" w:rsidR="00E926B9" w:rsidRPr="006D450F" w:rsidRDefault="00E926B9" w:rsidP="00FE4A23">
            <w:pPr>
              <w:jc w:val="center"/>
              <w:rPr>
                <w:rFonts w:ascii="Times New Roman" w:hAnsi="Times New Roman" w:cs="Times New Roman"/>
                <w:b/>
                <w:i/>
                <w:sz w:val="20"/>
                <w:szCs w:val="20"/>
              </w:rPr>
            </w:pPr>
            <w:r w:rsidRPr="006D450F">
              <w:rPr>
                <w:rFonts w:ascii="Times New Roman" w:hAnsi="Times New Roman" w:cs="Times New Roman"/>
                <w:b/>
                <w:i/>
                <w:sz w:val="20"/>
                <w:szCs w:val="20"/>
              </w:rPr>
              <w:t>tak/nie</w:t>
            </w:r>
          </w:p>
        </w:tc>
      </w:tr>
      <w:tr w:rsidR="00ED417D" w:rsidRPr="00ED417D" w14:paraId="0887E484" w14:textId="77777777" w:rsidTr="006D450F">
        <w:tc>
          <w:tcPr>
            <w:tcW w:w="4891" w:type="dxa"/>
          </w:tcPr>
          <w:p w14:paraId="6CBF4325" w14:textId="77777777" w:rsidR="00E926B9" w:rsidRPr="006D450F" w:rsidRDefault="00E926B9" w:rsidP="00FE4A23">
            <w:pPr>
              <w:pStyle w:val="Tekstpodstawowy2"/>
              <w:ind w:left="1" w:hanging="1"/>
              <w:jc w:val="left"/>
              <w:rPr>
                <w:rFonts w:ascii="Times New Roman" w:hAnsi="Times New Roman" w:cs="Times New Roman"/>
                <w:sz w:val="20"/>
                <w:szCs w:val="20"/>
              </w:rPr>
            </w:pPr>
            <w:r w:rsidRPr="006D450F">
              <w:rPr>
                <w:rFonts w:ascii="Times New Roman" w:hAnsi="Times New Roman" w:cs="Times New Roman"/>
                <w:sz w:val="20"/>
                <w:szCs w:val="20"/>
              </w:rPr>
              <w:t>wobec samorządów regionalnych lub władz lokalnych</w:t>
            </w:r>
          </w:p>
        </w:tc>
        <w:tc>
          <w:tcPr>
            <w:tcW w:w="2192" w:type="dxa"/>
          </w:tcPr>
          <w:p w14:paraId="007FDDB4" w14:textId="2B32F439" w:rsidR="00E926B9" w:rsidRPr="006D450F" w:rsidRDefault="00967662"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2</w:t>
            </w:r>
            <w:r w:rsidR="006D450F" w:rsidRPr="006D450F">
              <w:rPr>
                <w:rFonts w:ascii="Times New Roman" w:hAnsi="Times New Roman" w:cs="Times New Roman"/>
                <w:sz w:val="20"/>
                <w:szCs w:val="20"/>
              </w:rPr>
              <w:t>1 294</w:t>
            </w:r>
          </w:p>
        </w:tc>
        <w:tc>
          <w:tcPr>
            <w:tcW w:w="1922" w:type="dxa"/>
          </w:tcPr>
          <w:p w14:paraId="4468EE39" w14:textId="5BF3E2DE" w:rsidR="00E926B9" w:rsidRPr="006D450F" w:rsidRDefault="00FB155F"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tak</w:t>
            </w:r>
          </w:p>
        </w:tc>
      </w:tr>
      <w:tr w:rsidR="00ED417D" w:rsidRPr="00ED417D" w14:paraId="61D7E23E" w14:textId="77777777" w:rsidTr="006D450F">
        <w:tc>
          <w:tcPr>
            <w:tcW w:w="4891" w:type="dxa"/>
          </w:tcPr>
          <w:p w14:paraId="605658CB" w14:textId="77777777" w:rsidR="00E926B9" w:rsidRPr="000E766A" w:rsidRDefault="00E926B9" w:rsidP="00FE4A23">
            <w:pPr>
              <w:pStyle w:val="Tekstpodstawowy2"/>
              <w:ind w:left="1" w:hanging="1"/>
              <w:jc w:val="left"/>
              <w:rPr>
                <w:rFonts w:ascii="Times New Roman" w:hAnsi="Times New Roman" w:cs="Times New Roman"/>
                <w:sz w:val="20"/>
                <w:szCs w:val="20"/>
              </w:rPr>
            </w:pPr>
            <w:r w:rsidRPr="000E766A">
              <w:rPr>
                <w:rFonts w:ascii="Times New Roman" w:hAnsi="Times New Roman" w:cs="Times New Roman"/>
                <w:sz w:val="20"/>
                <w:szCs w:val="20"/>
              </w:rPr>
              <w:t>ekspozycje wobec przedsiębiorstw</w:t>
            </w:r>
          </w:p>
        </w:tc>
        <w:tc>
          <w:tcPr>
            <w:tcW w:w="2192" w:type="dxa"/>
          </w:tcPr>
          <w:p w14:paraId="6B995077" w14:textId="07EF78CF" w:rsidR="00E926B9" w:rsidRPr="000E766A" w:rsidRDefault="00967662" w:rsidP="00967662">
            <w:pPr>
              <w:pStyle w:val="Tekstpodstawowywcity"/>
              <w:spacing w:after="0"/>
              <w:ind w:left="0"/>
              <w:jc w:val="right"/>
              <w:rPr>
                <w:rFonts w:ascii="Times New Roman" w:hAnsi="Times New Roman" w:cs="Times New Roman"/>
                <w:sz w:val="20"/>
                <w:szCs w:val="20"/>
              </w:rPr>
            </w:pPr>
            <w:r w:rsidRPr="000E766A">
              <w:rPr>
                <w:rFonts w:ascii="Times New Roman" w:hAnsi="Times New Roman" w:cs="Times New Roman"/>
                <w:sz w:val="20"/>
                <w:szCs w:val="20"/>
              </w:rPr>
              <w:t>1</w:t>
            </w:r>
            <w:r w:rsidR="000E766A" w:rsidRPr="000E766A">
              <w:rPr>
                <w:rFonts w:ascii="Times New Roman" w:hAnsi="Times New Roman" w:cs="Times New Roman"/>
                <w:sz w:val="20"/>
                <w:szCs w:val="20"/>
              </w:rPr>
              <w:t>8 317</w:t>
            </w:r>
          </w:p>
        </w:tc>
        <w:tc>
          <w:tcPr>
            <w:tcW w:w="1922" w:type="dxa"/>
          </w:tcPr>
          <w:p w14:paraId="73B0D492" w14:textId="72C402E8" w:rsidR="00E926B9" w:rsidRPr="000E766A" w:rsidRDefault="0098158B" w:rsidP="00967662">
            <w:pPr>
              <w:pStyle w:val="Tekstpodstawowywcity"/>
              <w:spacing w:after="0"/>
              <w:ind w:left="0"/>
              <w:jc w:val="right"/>
              <w:rPr>
                <w:rFonts w:ascii="Times New Roman" w:hAnsi="Times New Roman" w:cs="Times New Roman"/>
                <w:sz w:val="20"/>
                <w:szCs w:val="20"/>
              </w:rPr>
            </w:pPr>
            <w:r w:rsidRPr="000E766A">
              <w:rPr>
                <w:rFonts w:ascii="Times New Roman" w:hAnsi="Times New Roman" w:cs="Times New Roman"/>
                <w:sz w:val="20"/>
                <w:szCs w:val="20"/>
              </w:rPr>
              <w:t>nie</w:t>
            </w:r>
          </w:p>
        </w:tc>
      </w:tr>
      <w:tr w:rsidR="00ED417D" w:rsidRPr="00ED417D" w14:paraId="6FBD11C1" w14:textId="77777777" w:rsidTr="006D450F">
        <w:tc>
          <w:tcPr>
            <w:tcW w:w="4891" w:type="dxa"/>
          </w:tcPr>
          <w:p w14:paraId="320F5272" w14:textId="77777777" w:rsidR="00E926B9" w:rsidRPr="006D450F" w:rsidRDefault="00E926B9" w:rsidP="00FE4A23">
            <w:pPr>
              <w:pStyle w:val="Tekstpodstawowy2"/>
              <w:ind w:left="1" w:hanging="1"/>
              <w:jc w:val="left"/>
              <w:rPr>
                <w:rFonts w:ascii="Times New Roman" w:hAnsi="Times New Roman" w:cs="Times New Roman"/>
                <w:sz w:val="20"/>
                <w:szCs w:val="20"/>
              </w:rPr>
            </w:pPr>
            <w:r w:rsidRPr="006D450F">
              <w:rPr>
                <w:rFonts w:ascii="Times New Roman" w:hAnsi="Times New Roman" w:cs="Times New Roman"/>
                <w:sz w:val="20"/>
                <w:szCs w:val="20"/>
              </w:rPr>
              <w:t>ekspozycje detaliczne</w:t>
            </w:r>
          </w:p>
        </w:tc>
        <w:tc>
          <w:tcPr>
            <w:tcW w:w="2192" w:type="dxa"/>
          </w:tcPr>
          <w:p w14:paraId="10DAA4CD" w14:textId="057E2AEC" w:rsidR="00E926B9" w:rsidRPr="006D450F" w:rsidRDefault="006D450F"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1 789</w:t>
            </w:r>
          </w:p>
        </w:tc>
        <w:tc>
          <w:tcPr>
            <w:tcW w:w="1922" w:type="dxa"/>
          </w:tcPr>
          <w:p w14:paraId="2EF10798" w14:textId="06EDA243" w:rsidR="00E926B9" w:rsidRPr="006D450F" w:rsidRDefault="0098158B"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tak</w:t>
            </w:r>
          </w:p>
        </w:tc>
      </w:tr>
      <w:tr w:rsidR="00ED417D" w:rsidRPr="00ED417D" w14:paraId="3F9E6F51" w14:textId="77777777" w:rsidTr="006D450F">
        <w:tc>
          <w:tcPr>
            <w:tcW w:w="4891" w:type="dxa"/>
          </w:tcPr>
          <w:p w14:paraId="435F1A84" w14:textId="77777777" w:rsidR="00E926B9" w:rsidRPr="006D450F" w:rsidRDefault="00E926B9" w:rsidP="00FE4A23">
            <w:pPr>
              <w:pStyle w:val="Tekstpodstawowy2"/>
              <w:ind w:left="1" w:hanging="1"/>
              <w:jc w:val="left"/>
              <w:rPr>
                <w:rFonts w:ascii="Times New Roman" w:hAnsi="Times New Roman" w:cs="Times New Roman"/>
                <w:sz w:val="20"/>
                <w:szCs w:val="20"/>
              </w:rPr>
            </w:pPr>
            <w:r w:rsidRPr="006D450F">
              <w:rPr>
                <w:rFonts w:ascii="Times New Roman" w:hAnsi="Times New Roman" w:cs="Times New Roman"/>
                <w:sz w:val="20"/>
                <w:szCs w:val="20"/>
              </w:rPr>
              <w:t>ekspozycje zabezpieczone hipotekami na nieruchomościach</w:t>
            </w:r>
          </w:p>
        </w:tc>
        <w:tc>
          <w:tcPr>
            <w:tcW w:w="2192" w:type="dxa"/>
          </w:tcPr>
          <w:p w14:paraId="3289081B" w14:textId="5C7E42D2" w:rsidR="00E926B9" w:rsidRPr="006D450F" w:rsidRDefault="006D450F"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50 973</w:t>
            </w:r>
          </w:p>
        </w:tc>
        <w:tc>
          <w:tcPr>
            <w:tcW w:w="1922" w:type="dxa"/>
          </w:tcPr>
          <w:p w14:paraId="4E08B898" w14:textId="2965F36F" w:rsidR="00E926B9" w:rsidRPr="006D450F" w:rsidRDefault="0098158B" w:rsidP="00967662">
            <w:pPr>
              <w:pStyle w:val="Tekstpodstawowywcity"/>
              <w:spacing w:after="0"/>
              <w:ind w:left="0"/>
              <w:jc w:val="right"/>
              <w:rPr>
                <w:rFonts w:ascii="Times New Roman" w:hAnsi="Times New Roman" w:cs="Times New Roman"/>
                <w:sz w:val="20"/>
                <w:szCs w:val="20"/>
              </w:rPr>
            </w:pPr>
            <w:r w:rsidRPr="006D450F">
              <w:rPr>
                <w:rFonts w:ascii="Times New Roman" w:hAnsi="Times New Roman" w:cs="Times New Roman"/>
                <w:sz w:val="20"/>
                <w:szCs w:val="20"/>
              </w:rPr>
              <w:t>nie</w:t>
            </w:r>
          </w:p>
        </w:tc>
      </w:tr>
      <w:tr w:rsidR="00E926B9" w:rsidRPr="00ED417D" w14:paraId="071CCEFA" w14:textId="77777777" w:rsidTr="006D450F">
        <w:tc>
          <w:tcPr>
            <w:tcW w:w="4891" w:type="dxa"/>
          </w:tcPr>
          <w:p w14:paraId="3C2156EF" w14:textId="77777777" w:rsidR="00E926B9" w:rsidRPr="000D008B" w:rsidRDefault="00E926B9" w:rsidP="00FE4A23">
            <w:pPr>
              <w:pStyle w:val="Tekstpodstawowy2"/>
              <w:ind w:left="1" w:hanging="1"/>
              <w:jc w:val="left"/>
              <w:rPr>
                <w:rFonts w:ascii="Times New Roman" w:hAnsi="Times New Roman" w:cs="Times New Roman"/>
                <w:sz w:val="20"/>
                <w:szCs w:val="20"/>
              </w:rPr>
            </w:pPr>
            <w:r w:rsidRPr="000D008B">
              <w:rPr>
                <w:rFonts w:ascii="Times New Roman" w:hAnsi="Times New Roman" w:cs="Times New Roman"/>
                <w:sz w:val="20"/>
                <w:szCs w:val="20"/>
              </w:rPr>
              <w:t>których dotyczy niewykonanie zobowiązania</w:t>
            </w:r>
          </w:p>
        </w:tc>
        <w:tc>
          <w:tcPr>
            <w:tcW w:w="2192" w:type="dxa"/>
          </w:tcPr>
          <w:p w14:paraId="6610E6DD" w14:textId="30BBC68E" w:rsidR="00E926B9" w:rsidRPr="000D008B" w:rsidRDefault="000D008B" w:rsidP="00967662">
            <w:pPr>
              <w:pStyle w:val="Tekstpodstawowywcity"/>
              <w:spacing w:after="0"/>
              <w:ind w:left="0"/>
              <w:jc w:val="right"/>
              <w:rPr>
                <w:rFonts w:ascii="Times New Roman" w:hAnsi="Times New Roman" w:cs="Times New Roman"/>
                <w:sz w:val="20"/>
                <w:szCs w:val="20"/>
              </w:rPr>
            </w:pPr>
            <w:r w:rsidRPr="000D008B">
              <w:rPr>
                <w:rFonts w:ascii="Times New Roman" w:hAnsi="Times New Roman" w:cs="Times New Roman"/>
                <w:sz w:val="20"/>
                <w:szCs w:val="20"/>
              </w:rPr>
              <w:t>857</w:t>
            </w:r>
          </w:p>
        </w:tc>
        <w:tc>
          <w:tcPr>
            <w:tcW w:w="1922" w:type="dxa"/>
          </w:tcPr>
          <w:p w14:paraId="31759689" w14:textId="3406BE23" w:rsidR="00E926B9" w:rsidRPr="000D008B" w:rsidRDefault="0098158B" w:rsidP="00967662">
            <w:pPr>
              <w:pStyle w:val="Tekstpodstawowywcity"/>
              <w:spacing w:after="0"/>
              <w:ind w:left="0"/>
              <w:jc w:val="right"/>
              <w:rPr>
                <w:rFonts w:ascii="Times New Roman" w:hAnsi="Times New Roman" w:cs="Times New Roman"/>
                <w:sz w:val="20"/>
                <w:szCs w:val="20"/>
              </w:rPr>
            </w:pPr>
            <w:r w:rsidRPr="000D008B">
              <w:rPr>
                <w:rFonts w:ascii="Times New Roman" w:hAnsi="Times New Roman" w:cs="Times New Roman"/>
                <w:sz w:val="20"/>
                <w:szCs w:val="20"/>
              </w:rPr>
              <w:t>nie</w:t>
            </w:r>
          </w:p>
        </w:tc>
      </w:tr>
    </w:tbl>
    <w:p w14:paraId="37DFD736" w14:textId="77777777" w:rsidR="00967662" w:rsidRPr="00ED417D" w:rsidRDefault="00967662" w:rsidP="002E3842">
      <w:pPr>
        <w:spacing w:after="0" w:line="240" w:lineRule="auto"/>
        <w:jc w:val="both"/>
        <w:rPr>
          <w:rFonts w:ascii="Times New Roman" w:hAnsi="Times New Roman" w:cs="Times New Roman"/>
          <w:color w:val="FF0000"/>
          <w:sz w:val="24"/>
          <w:szCs w:val="24"/>
        </w:rPr>
      </w:pPr>
    </w:p>
    <w:p w14:paraId="04F3B64A" w14:textId="6828B141" w:rsidR="00F81926" w:rsidRPr="000D008B" w:rsidRDefault="002D015F" w:rsidP="002E3842">
      <w:pPr>
        <w:spacing w:after="0" w:line="240" w:lineRule="auto"/>
        <w:jc w:val="both"/>
        <w:rPr>
          <w:rFonts w:ascii="Times New Roman" w:hAnsi="Times New Roman" w:cs="Times New Roman"/>
          <w:sz w:val="24"/>
          <w:szCs w:val="24"/>
        </w:rPr>
      </w:pPr>
      <w:r w:rsidRPr="000D008B">
        <w:rPr>
          <w:rFonts w:ascii="Times New Roman" w:hAnsi="Times New Roman" w:cs="Times New Roman"/>
          <w:sz w:val="24"/>
          <w:szCs w:val="24"/>
        </w:rPr>
        <w:t>p</w:t>
      </w:r>
      <w:r w:rsidR="00CF0D7E" w:rsidRPr="000D008B">
        <w:rPr>
          <w:rFonts w:ascii="Times New Roman" w:hAnsi="Times New Roman" w:cs="Times New Roman"/>
          <w:sz w:val="24"/>
          <w:szCs w:val="24"/>
        </w:rPr>
        <w:t xml:space="preserve">rzy czym przyjmuje, że </w:t>
      </w:r>
      <w:r w:rsidR="00E76ADB" w:rsidRPr="000D008B">
        <w:rPr>
          <w:rFonts w:ascii="Times New Roman" w:hAnsi="Times New Roman" w:cs="Times New Roman"/>
          <w:sz w:val="24"/>
          <w:szCs w:val="24"/>
        </w:rPr>
        <w:t xml:space="preserve"> kategorie</w:t>
      </w:r>
      <w:r w:rsidR="00CF0D7E" w:rsidRPr="000D008B">
        <w:rPr>
          <w:rFonts w:ascii="Times New Roman" w:hAnsi="Times New Roman" w:cs="Times New Roman"/>
          <w:sz w:val="24"/>
          <w:szCs w:val="24"/>
        </w:rPr>
        <w:t xml:space="preserve"> ekspozycji kredytowych, które stanowią przynajmniej </w:t>
      </w:r>
      <w:r w:rsidR="00FB155F" w:rsidRPr="000D008B">
        <w:rPr>
          <w:rFonts w:ascii="Times New Roman" w:hAnsi="Times New Roman" w:cs="Times New Roman"/>
          <w:sz w:val="24"/>
          <w:szCs w:val="24"/>
        </w:rPr>
        <w:t>2</w:t>
      </w:r>
      <w:r w:rsidR="001D344C" w:rsidRPr="000D008B">
        <w:rPr>
          <w:rFonts w:ascii="Times New Roman" w:hAnsi="Times New Roman" w:cs="Times New Roman"/>
          <w:sz w:val="24"/>
          <w:szCs w:val="24"/>
        </w:rPr>
        <w:t>0</w:t>
      </w:r>
      <w:r w:rsidR="00CF0D7E" w:rsidRPr="000D008B">
        <w:rPr>
          <w:rFonts w:ascii="Times New Roman" w:hAnsi="Times New Roman" w:cs="Times New Roman"/>
          <w:sz w:val="24"/>
          <w:szCs w:val="24"/>
        </w:rPr>
        <w:t xml:space="preserve">%  łącznej kwoty ekspozycji kredytowych wyznaczają istotne </w:t>
      </w:r>
      <w:r w:rsidR="00E76ADB" w:rsidRPr="000D008B">
        <w:rPr>
          <w:rFonts w:ascii="Times New Roman" w:hAnsi="Times New Roman" w:cs="Times New Roman"/>
          <w:sz w:val="24"/>
          <w:szCs w:val="24"/>
        </w:rPr>
        <w:t xml:space="preserve"> kategorie</w:t>
      </w:r>
      <w:r w:rsidR="00CF0D7E" w:rsidRPr="000D008B">
        <w:rPr>
          <w:rFonts w:ascii="Times New Roman" w:hAnsi="Times New Roman" w:cs="Times New Roman"/>
          <w:sz w:val="24"/>
          <w:szCs w:val="24"/>
        </w:rPr>
        <w:t xml:space="preserve"> ekspozycji.</w:t>
      </w:r>
    </w:p>
    <w:p w14:paraId="0BE43DE4" w14:textId="77777777" w:rsidR="00E40620" w:rsidRPr="00ED417D" w:rsidRDefault="00E40620" w:rsidP="00C15DC5">
      <w:pPr>
        <w:spacing w:after="0" w:line="240" w:lineRule="auto"/>
        <w:jc w:val="both"/>
        <w:rPr>
          <w:rFonts w:ascii="Times New Roman" w:hAnsi="Times New Roman" w:cs="Times New Roman"/>
          <w:color w:val="FF0000"/>
          <w:sz w:val="24"/>
          <w:szCs w:val="24"/>
        </w:rPr>
      </w:pPr>
    </w:p>
    <w:p w14:paraId="1392D8B2" w14:textId="77777777" w:rsidR="00BD5BDC" w:rsidRPr="00EF07B5" w:rsidRDefault="00BD5BDC"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EF07B5">
        <w:rPr>
          <w:rFonts w:ascii="Times New Roman" w:hAnsi="Times New Roman" w:cs="Times New Roman"/>
          <w:b/>
          <w:sz w:val="24"/>
          <w:szCs w:val="24"/>
        </w:rPr>
        <w:t>Struktura geograficzna ekspozycji kredytowych</w:t>
      </w:r>
    </w:p>
    <w:p w14:paraId="038FD55F" w14:textId="77777777" w:rsidR="00842ED4" w:rsidRPr="00ED417D" w:rsidRDefault="00842ED4" w:rsidP="00C15DC5">
      <w:pPr>
        <w:spacing w:after="0" w:line="240" w:lineRule="auto"/>
        <w:jc w:val="both"/>
        <w:rPr>
          <w:rFonts w:ascii="Times New Roman" w:hAnsi="Times New Roman" w:cs="Times New Roman"/>
          <w:color w:val="FF0000"/>
          <w:sz w:val="24"/>
          <w:szCs w:val="24"/>
        </w:rPr>
      </w:pPr>
    </w:p>
    <w:p w14:paraId="3FF95389" w14:textId="09C6FDBF" w:rsidR="00EE7A81" w:rsidRPr="00EF07B5" w:rsidRDefault="00EE7A81" w:rsidP="00C15DC5">
      <w:pPr>
        <w:spacing w:after="0" w:line="240" w:lineRule="auto"/>
        <w:jc w:val="both"/>
        <w:rPr>
          <w:rFonts w:ascii="Times New Roman" w:hAnsi="Times New Roman" w:cs="Times New Roman"/>
          <w:sz w:val="24"/>
          <w:szCs w:val="24"/>
        </w:rPr>
      </w:pPr>
      <w:r w:rsidRPr="00EF07B5">
        <w:rPr>
          <w:rFonts w:ascii="Times New Roman" w:hAnsi="Times New Roman" w:cs="Times New Roman"/>
          <w:sz w:val="24"/>
          <w:szCs w:val="24"/>
        </w:rPr>
        <w:t>Bank</w:t>
      </w:r>
      <w:r w:rsidR="00C14331" w:rsidRPr="00EF07B5">
        <w:rPr>
          <w:rFonts w:ascii="Times New Roman" w:hAnsi="Times New Roman" w:cs="Times New Roman"/>
          <w:sz w:val="24"/>
          <w:szCs w:val="24"/>
        </w:rPr>
        <w:t xml:space="preserve"> nie</w:t>
      </w:r>
      <w:r w:rsidRPr="00EF07B5">
        <w:rPr>
          <w:rFonts w:ascii="Times New Roman" w:hAnsi="Times New Roman" w:cs="Times New Roman"/>
          <w:sz w:val="24"/>
          <w:szCs w:val="24"/>
        </w:rPr>
        <w:t xml:space="preserve"> dokonuje podziału ekspozycji kredytowych na  regiony geograficzne</w:t>
      </w:r>
      <w:r w:rsidR="00EF07B5" w:rsidRPr="00EF07B5">
        <w:rPr>
          <w:rFonts w:ascii="Times New Roman" w:hAnsi="Times New Roman" w:cs="Times New Roman"/>
          <w:sz w:val="24"/>
          <w:szCs w:val="24"/>
        </w:rPr>
        <w:t>.</w:t>
      </w:r>
    </w:p>
    <w:p w14:paraId="5B06872F" w14:textId="77777777" w:rsidR="001B34CF" w:rsidRPr="00ED417D" w:rsidRDefault="001B34CF" w:rsidP="00C15DC5">
      <w:pPr>
        <w:spacing w:after="0" w:line="240" w:lineRule="auto"/>
        <w:jc w:val="both"/>
        <w:rPr>
          <w:rFonts w:ascii="Times New Roman" w:hAnsi="Times New Roman" w:cs="Times New Roman"/>
          <w:color w:val="FF0000"/>
          <w:sz w:val="24"/>
          <w:szCs w:val="24"/>
        </w:rPr>
      </w:pPr>
    </w:p>
    <w:p w14:paraId="247CFCCE" w14:textId="77777777" w:rsidR="003B190C" w:rsidRPr="0045095F" w:rsidRDefault="001461E9"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45095F">
        <w:rPr>
          <w:rFonts w:ascii="Times New Roman" w:hAnsi="Times New Roman" w:cs="Times New Roman"/>
          <w:b/>
          <w:sz w:val="24"/>
          <w:szCs w:val="24"/>
        </w:rPr>
        <w:t>Struktura branżowa</w:t>
      </w:r>
      <w:r w:rsidR="003B190C" w:rsidRPr="0045095F">
        <w:rPr>
          <w:rFonts w:ascii="Times New Roman" w:hAnsi="Times New Roman" w:cs="Times New Roman"/>
          <w:b/>
          <w:sz w:val="24"/>
          <w:szCs w:val="24"/>
        </w:rPr>
        <w:t xml:space="preserve"> ekspozycji kredytowych</w:t>
      </w:r>
    </w:p>
    <w:p w14:paraId="69FB1F6F" w14:textId="77777777" w:rsidR="00383DDD" w:rsidRPr="0045095F" w:rsidRDefault="00383DDD" w:rsidP="00236DB6">
      <w:pPr>
        <w:spacing w:after="0" w:line="240" w:lineRule="auto"/>
        <w:jc w:val="both"/>
        <w:rPr>
          <w:rFonts w:ascii="Times New Roman" w:hAnsi="Times New Roman" w:cs="Times New Roman"/>
          <w:sz w:val="24"/>
          <w:szCs w:val="24"/>
        </w:rPr>
      </w:pPr>
    </w:p>
    <w:p w14:paraId="61F1D2CB" w14:textId="6CA53F10" w:rsidR="00BF5E7A" w:rsidRPr="0045095F" w:rsidRDefault="00BF5E7A" w:rsidP="00BF5E7A">
      <w:pPr>
        <w:spacing w:after="0" w:line="240" w:lineRule="auto"/>
        <w:jc w:val="both"/>
        <w:rPr>
          <w:rFonts w:ascii="Times New Roman" w:hAnsi="Times New Roman" w:cs="Times New Roman"/>
          <w:sz w:val="24"/>
          <w:szCs w:val="24"/>
        </w:rPr>
      </w:pPr>
      <w:r w:rsidRPr="0045095F">
        <w:rPr>
          <w:rFonts w:ascii="Times New Roman" w:hAnsi="Times New Roman" w:cs="Times New Roman"/>
          <w:sz w:val="24"/>
          <w:szCs w:val="24"/>
        </w:rPr>
        <w:t>Bank dokonuje podziału ekspozycji kredytowych na następujące branże</w:t>
      </w:r>
      <w:r w:rsidR="00C77EB7" w:rsidRPr="0045095F">
        <w:rPr>
          <w:rFonts w:ascii="Times New Roman" w:hAnsi="Times New Roman" w:cs="Times New Roman"/>
          <w:sz w:val="24"/>
          <w:szCs w:val="24"/>
        </w:rPr>
        <w:t xml:space="preserve"> (według Polskiej Klasyfikacji Działalności, z wyłączeniem ekspozycji kredytowej wobec konsumentów)</w:t>
      </w:r>
      <w:r w:rsidRPr="0045095F">
        <w:rPr>
          <w:rFonts w:ascii="Times New Roman" w:hAnsi="Times New Roman" w:cs="Times New Roman"/>
          <w:sz w:val="24"/>
          <w:szCs w:val="24"/>
        </w:rPr>
        <w:t>:</w:t>
      </w:r>
    </w:p>
    <w:p w14:paraId="324A29A1" w14:textId="77777777" w:rsidR="001D344C" w:rsidRPr="0045095F" w:rsidRDefault="001D344C" w:rsidP="00BF5E7A">
      <w:pPr>
        <w:spacing w:after="0" w:line="240" w:lineRule="auto"/>
        <w:jc w:val="both"/>
        <w:rPr>
          <w:rFonts w:ascii="Times New Roman" w:hAnsi="Times New Roman" w:cs="Times New Roman"/>
          <w:sz w:val="24"/>
          <w:szCs w:val="24"/>
        </w:rPr>
      </w:pPr>
    </w:p>
    <w:p w14:paraId="15309E0D" w14:textId="77777777" w:rsidR="00983661" w:rsidRPr="00ED417D" w:rsidRDefault="00983661" w:rsidP="00236DB6">
      <w:pPr>
        <w:spacing w:after="0" w:line="240" w:lineRule="auto"/>
        <w:jc w:val="both"/>
        <w:rPr>
          <w:rFonts w:ascii="Times New Roman" w:hAnsi="Times New Roman" w:cs="Times New Roman"/>
          <w:color w:val="FF0000"/>
          <w:sz w:val="24"/>
          <w:szCs w:val="24"/>
        </w:rPr>
      </w:pPr>
    </w:p>
    <w:tbl>
      <w:tblPr>
        <w:tblStyle w:val="Tabela-Siatka"/>
        <w:tblW w:w="9005" w:type="dxa"/>
        <w:tblInd w:w="283" w:type="dxa"/>
        <w:tblLook w:val="04A0" w:firstRow="1" w:lastRow="0" w:firstColumn="1" w:lastColumn="0" w:noHBand="0" w:noVBand="1"/>
      </w:tblPr>
      <w:tblGrid>
        <w:gridCol w:w="4891"/>
        <w:gridCol w:w="2116"/>
        <w:gridCol w:w="1998"/>
      </w:tblGrid>
      <w:tr w:rsidR="00ED417D" w:rsidRPr="00ED417D" w14:paraId="1DCDCBB5" w14:textId="77777777" w:rsidTr="00FE4A23">
        <w:tc>
          <w:tcPr>
            <w:tcW w:w="4891" w:type="dxa"/>
            <w:shd w:val="clear" w:color="auto" w:fill="D9D9D9" w:themeFill="background1" w:themeFillShade="D9"/>
            <w:vAlign w:val="center"/>
          </w:tcPr>
          <w:p w14:paraId="052C0635" w14:textId="77777777" w:rsidR="002D015F" w:rsidRPr="0045095F" w:rsidRDefault="002D015F" w:rsidP="00FE4A23">
            <w:pPr>
              <w:tabs>
                <w:tab w:val="left" w:pos="1970"/>
              </w:tabs>
              <w:jc w:val="center"/>
              <w:rPr>
                <w:rFonts w:ascii="Times New Roman" w:hAnsi="Times New Roman" w:cs="Times New Roman"/>
                <w:b/>
                <w:i/>
                <w:sz w:val="20"/>
                <w:szCs w:val="20"/>
              </w:rPr>
            </w:pPr>
            <w:r w:rsidRPr="0045095F">
              <w:rPr>
                <w:rFonts w:ascii="Times New Roman" w:hAnsi="Times New Roman" w:cs="Times New Roman"/>
                <w:b/>
                <w:i/>
                <w:sz w:val="20"/>
                <w:szCs w:val="20"/>
              </w:rPr>
              <w:t>Branża</w:t>
            </w:r>
          </w:p>
        </w:tc>
        <w:tc>
          <w:tcPr>
            <w:tcW w:w="2116" w:type="dxa"/>
            <w:shd w:val="clear" w:color="auto" w:fill="D9D9D9" w:themeFill="background1" w:themeFillShade="D9"/>
            <w:vAlign w:val="center"/>
          </w:tcPr>
          <w:p w14:paraId="04F6DC8D" w14:textId="77777777" w:rsidR="002D015F" w:rsidRPr="0045095F" w:rsidRDefault="002D015F" w:rsidP="00FE4A23">
            <w:pPr>
              <w:jc w:val="center"/>
              <w:rPr>
                <w:rFonts w:ascii="Times New Roman" w:hAnsi="Times New Roman" w:cs="Times New Roman"/>
                <w:b/>
                <w:i/>
                <w:sz w:val="20"/>
                <w:szCs w:val="20"/>
              </w:rPr>
            </w:pPr>
            <w:r w:rsidRPr="0045095F">
              <w:rPr>
                <w:rFonts w:ascii="Times New Roman" w:hAnsi="Times New Roman" w:cs="Times New Roman"/>
                <w:b/>
                <w:i/>
                <w:sz w:val="20"/>
                <w:szCs w:val="20"/>
              </w:rPr>
              <w:t>wartość</w:t>
            </w:r>
          </w:p>
          <w:p w14:paraId="0D77B0AB" w14:textId="77777777" w:rsidR="002D015F" w:rsidRPr="0045095F" w:rsidRDefault="002D015F" w:rsidP="00FE4A23">
            <w:pPr>
              <w:jc w:val="center"/>
              <w:rPr>
                <w:rFonts w:ascii="Times New Roman" w:hAnsi="Times New Roman" w:cs="Times New Roman"/>
                <w:b/>
                <w:i/>
                <w:sz w:val="20"/>
                <w:szCs w:val="20"/>
              </w:rPr>
            </w:pPr>
            <w:r w:rsidRPr="0045095F">
              <w:rPr>
                <w:rFonts w:ascii="Times New Roman" w:hAnsi="Times New Roman" w:cs="Times New Roman"/>
                <w:b/>
                <w:i/>
                <w:sz w:val="20"/>
                <w:szCs w:val="20"/>
              </w:rPr>
              <w:t>tys. zł</w:t>
            </w:r>
          </w:p>
        </w:tc>
        <w:tc>
          <w:tcPr>
            <w:tcW w:w="1998" w:type="dxa"/>
            <w:shd w:val="clear" w:color="auto" w:fill="D9D9D9" w:themeFill="background1" w:themeFillShade="D9"/>
          </w:tcPr>
          <w:p w14:paraId="43C14060" w14:textId="77777777" w:rsidR="002D015F" w:rsidRPr="0045095F" w:rsidRDefault="002D015F" w:rsidP="00FE4A23">
            <w:pPr>
              <w:jc w:val="center"/>
              <w:rPr>
                <w:rFonts w:ascii="Times New Roman" w:hAnsi="Times New Roman" w:cs="Times New Roman"/>
                <w:b/>
                <w:i/>
                <w:sz w:val="20"/>
                <w:szCs w:val="20"/>
              </w:rPr>
            </w:pPr>
            <w:r w:rsidRPr="0045095F">
              <w:rPr>
                <w:rFonts w:ascii="Times New Roman" w:hAnsi="Times New Roman" w:cs="Times New Roman"/>
                <w:b/>
                <w:i/>
                <w:sz w:val="20"/>
                <w:szCs w:val="20"/>
              </w:rPr>
              <w:t>Czy branża jest istotna</w:t>
            </w:r>
          </w:p>
          <w:p w14:paraId="67CF7BD0" w14:textId="77777777" w:rsidR="002D015F" w:rsidRPr="0045095F" w:rsidRDefault="002D015F" w:rsidP="00FE4A23">
            <w:pPr>
              <w:jc w:val="center"/>
              <w:rPr>
                <w:rFonts w:ascii="Times New Roman" w:hAnsi="Times New Roman" w:cs="Times New Roman"/>
                <w:b/>
                <w:i/>
                <w:sz w:val="20"/>
                <w:szCs w:val="20"/>
              </w:rPr>
            </w:pPr>
            <w:r w:rsidRPr="0045095F">
              <w:rPr>
                <w:rFonts w:ascii="Times New Roman" w:hAnsi="Times New Roman" w:cs="Times New Roman"/>
                <w:b/>
                <w:i/>
                <w:sz w:val="20"/>
                <w:szCs w:val="20"/>
              </w:rPr>
              <w:t>tak/nie</w:t>
            </w:r>
          </w:p>
        </w:tc>
      </w:tr>
      <w:tr w:rsidR="00ED417D" w:rsidRPr="00ED417D" w14:paraId="2E9FAB8C" w14:textId="77777777" w:rsidTr="00FE4A23">
        <w:tc>
          <w:tcPr>
            <w:tcW w:w="4891" w:type="dxa"/>
          </w:tcPr>
          <w:p w14:paraId="7B0C9CDE" w14:textId="6F9724B4" w:rsidR="002D015F"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Rolnictwo, łowiectwo i leśnictwo</w:t>
            </w:r>
          </w:p>
        </w:tc>
        <w:tc>
          <w:tcPr>
            <w:tcW w:w="2116" w:type="dxa"/>
          </w:tcPr>
          <w:p w14:paraId="2DEAE0BE" w14:textId="425A65DC" w:rsidR="002D015F"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3 552,44</w:t>
            </w:r>
          </w:p>
        </w:tc>
        <w:tc>
          <w:tcPr>
            <w:tcW w:w="1998" w:type="dxa"/>
          </w:tcPr>
          <w:p w14:paraId="26BCA8AD" w14:textId="0867BDFA" w:rsidR="002D015F"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064A4C55" w14:textId="77777777" w:rsidTr="00FE4A23">
        <w:tc>
          <w:tcPr>
            <w:tcW w:w="4891" w:type="dxa"/>
          </w:tcPr>
          <w:p w14:paraId="3E84E443" w14:textId="0FA0A567" w:rsidR="002D015F"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Przetwórstwo przemysłowe</w:t>
            </w:r>
          </w:p>
        </w:tc>
        <w:tc>
          <w:tcPr>
            <w:tcW w:w="2116" w:type="dxa"/>
          </w:tcPr>
          <w:p w14:paraId="0B35C658" w14:textId="545BA018" w:rsidR="002D015F"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3 849,29</w:t>
            </w:r>
          </w:p>
        </w:tc>
        <w:tc>
          <w:tcPr>
            <w:tcW w:w="1998" w:type="dxa"/>
          </w:tcPr>
          <w:p w14:paraId="2906D5F1" w14:textId="3F22CBB2" w:rsidR="002D015F"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1FEF41EF" w14:textId="77777777" w:rsidTr="00FE4A23">
        <w:tc>
          <w:tcPr>
            <w:tcW w:w="4891" w:type="dxa"/>
          </w:tcPr>
          <w:p w14:paraId="6B5EFAD2" w14:textId="15556066" w:rsidR="002D015F"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Budownictwo</w:t>
            </w:r>
          </w:p>
        </w:tc>
        <w:tc>
          <w:tcPr>
            <w:tcW w:w="2116" w:type="dxa"/>
          </w:tcPr>
          <w:p w14:paraId="35C92EFE" w14:textId="3F8D055B" w:rsidR="002D015F" w:rsidRPr="0045095F" w:rsidRDefault="0045095F" w:rsidP="0045095F">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3 951,84</w:t>
            </w:r>
          </w:p>
        </w:tc>
        <w:tc>
          <w:tcPr>
            <w:tcW w:w="1998" w:type="dxa"/>
          </w:tcPr>
          <w:p w14:paraId="021CA4E9" w14:textId="19DA5238" w:rsidR="002D015F" w:rsidRPr="0045095F" w:rsidRDefault="001D344C"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6029324C" w14:textId="77777777" w:rsidTr="00FE4A23">
        <w:tc>
          <w:tcPr>
            <w:tcW w:w="4891" w:type="dxa"/>
          </w:tcPr>
          <w:p w14:paraId="38C125A6" w14:textId="51EA129E" w:rsidR="002D015F"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Handel hurtowy i detaliczny</w:t>
            </w:r>
          </w:p>
        </w:tc>
        <w:tc>
          <w:tcPr>
            <w:tcW w:w="2116" w:type="dxa"/>
          </w:tcPr>
          <w:p w14:paraId="64CE2825" w14:textId="4C3B7CDB" w:rsidR="002D015F"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4 842,21</w:t>
            </w:r>
          </w:p>
        </w:tc>
        <w:tc>
          <w:tcPr>
            <w:tcW w:w="1998" w:type="dxa"/>
          </w:tcPr>
          <w:p w14:paraId="53E70149" w14:textId="7520D4FF" w:rsidR="002D015F"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31FE48AF" w14:textId="77777777" w:rsidTr="00FE4A23">
        <w:tc>
          <w:tcPr>
            <w:tcW w:w="4891" w:type="dxa"/>
          </w:tcPr>
          <w:p w14:paraId="277B7337" w14:textId="51F8EDD8" w:rsidR="002D015F"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Transport, gospodarka magazynowa i łączność</w:t>
            </w:r>
          </w:p>
        </w:tc>
        <w:tc>
          <w:tcPr>
            <w:tcW w:w="2116" w:type="dxa"/>
          </w:tcPr>
          <w:p w14:paraId="45FFC425" w14:textId="71BE4924" w:rsidR="002D015F" w:rsidRPr="0045095F" w:rsidRDefault="0045095F" w:rsidP="0045095F">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1 344,57</w:t>
            </w:r>
          </w:p>
        </w:tc>
        <w:tc>
          <w:tcPr>
            <w:tcW w:w="1998" w:type="dxa"/>
          </w:tcPr>
          <w:p w14:paraId="00149E01" w14:textId="4701BAB1" w:rsidR="002D015F" w:rsidRPr="0045095F" w:rsidRDefault="001D344C"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723648CA" w14:textId="77777777" w:rsidTr="00FE4A23">
        <w:tc>
          <w:tcPr>
            <w:tcW w:w="4891" w:type="dxa"/>
          </w:tcPr>
          <w:p w14:paraId="3A23E9CA" w14:textId="6E822A56" w:rsidR="001D344C"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Hotele i restauracje</w:t>
            </w:r>
          </w:p>
        </w:tc>
        <w:tc>
          <w:tcPr>
            <w:tcW w:w="2116" w:type="dxa"/>
          </w:tcPr>
          <w:p w14:paraId="0ECCB3AA" w14:textId="65AAD7D9" w:rsidR="001D344C"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2 437,73</w:t>
            </w:r>
          </w:p>
        </w:tc>
        <w:tc>
          <w:tcPr>
            <w:tcW w:w="1998" w:type="dxa"/>
          </w:tcPr>
          <w:p w14:paraId="5E154CF5" w14:textId="20039BD8" w:rsidR="001D344C" w:rsidRPr="0045095F" w:rsidRDefault="001D344C"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68799A6C" w14:textId="77777777" w:rsidTr="00FE4A23">
        <w:tc>
          <w:tcPr>
            <w:tcW w:w="4891" w:type="dxa"/>
          </w:tcPr>
          <w:p w14:paraId="655E8304" w14:textId="3E1042FB" w:rsidR="001D344C"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Obsługa nieruchomości</w:t>
            </w:r>
          </w:p>
        </w:tc>
        <w:tc>
          <w:tcPr>
            <w:tcW w:w="2116" w:type="dxa"/>
          </w:tcPr>
          <w:p w14:paraId="75D524AA" w14:textId="34672AD5" w:rsidR="001D344C"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4 572,55</w:t>
            </w:r>
          </w:p>
        </w:tc>
        <w:tc>
          <w:tcPr>
            <w:tcW w:w="1998" w:type="dxa"/>
          </w:tcPr>
          <w:p w14:paraId="0CEC8366" w14:textId="7AD93A4B" w:rsidR="001D344C"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nie</w:t>
            </w:r>
          </w:p>
        </w:tc>
      </w:tr>
      <w:tr w:rsidR="00ED417D" w:rsidRPr="00ED417D" w14:paraId="179C8799" w14:textId="77777777" w:rsidTr="00FE4A23">
        <w:tc>
          <w:tcPr>
            <w:tcW w:w="4891" w:type="dxa"/>
          </w:tcPr>
          <w:p w14:paraId="07665C0B" w14:textId="2ACEB48D" w:rsidR="001D344C"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Administracja publiczna i obrona narodowa</w:t>
            </w:r>
          </w:p>
        </w:tc>
        <w:tc>
          <w:tcPr>
            <w:tcW w:w="2116" w:type="dxa"/>
          </w:tcPr>
          <w:p w14:paraId="7CE5CF5C" w14:textId="3F280441" w:rsidR="001D344C" w:rsidRPr="0045095F" w:rsidRDefault="004509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20 074,00</w:t>
            </w:r>
          </w:p>
        </w:tc>
        <w:tc>
          <w:tcPr>
            <w:tcW w:w="1998" w:type="dxa"/>
          </w:tcPr>
          <w:p w14:paraId="1750F390" w14:textId="273B0D5E" w:rsidR="001D344C"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t</w:t>
            </w:r>
            <w:r w:rsidR="001D344C" w:rsidRPr="0045095F">
              <w:rPr>
                <w:rFonts w:ascii="Times New Roman" w:hAnsi="Times New Roman" w:cs="Times New Roman"/>
                <w:sz w:val="20"/>
                <w:szCs w:val="20"/>
              </w:rPr>
              <w:t>ak</w:t>
            </w:r>
          </w:p>
        </w:tc>
      </w:tr>
      <w:tr w:rsidR="001D344C" w:rsidRPr="00ED417D" w14:paraId="2899082B" w14:textId="77777777" w:rsidTr="00FE4A23">
        <w:tc>
          <w:tcPr>
            <w:tcW w:w="4891" w:type="dxa"/>
          </w:tcPr>
          <w:p w14:paraId="5D3839A7" w14:textId="1B8549F8" w:rsidR="001D344C" w:rsidRPr="0045095F" w:rsidRDefault="001D344C" w:rsidP="00FE4A23">
            <w:pPr>
              <w:pStyle w:val="Tekstpodstawowy2"/>
              <w:ind w:left="1" w:hanging="1"/>
              <w:jc w:val="left"/>
              <w:rPr>
                <w:rFonts w:ascii="Times New Roman" w:hAnsi="Times New Roman" w:cs="Times New Roman"/>
                <w:sz w:val="20"/>
                <w:szCs w:val="20"/>
              </w:rPr>
            </w:pPr>
            <w:r w:rsidRPr="0045095F">
              <w:rPr>
                <w:rFonts w:ascii="Times New Roman" w:hAnsi="Times New Roman" w:cs="Times New Roman"/>
                <w:sz w:val="20"/>
                <w:szCs w:val="20"/>
              </w:rPr>
              <w:t>Pozostałe branże</w:t>
            </w:r>
          </w:p>
        </w:tc>
        <w:tc>
          <w:tcPr>
            <w:tcW w:w="2116" w:type="dxa"/>
          </w:tcPr>
          <w:p w14:paraId="51089EF2" w14:textId="673B6983" w:rsidR="001D344C" w:rsidRPr="0045095F" w:rsidRDefault="001D344C"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1</w:t>
            </w:r>
            <w:r w:rsidR="0045095F" w:rsidRPr="0045095F">
              <w:rPr>
                <w:rFonts w:ascii="Times New Roman" w:hAnsi="Times New Roman" w:cs="Times New Roman"/>
                <w:sz w:val="20"/>
                <w:szCs w:val="20"/>
              </w:rPr>
              <w:t> 559,16</w:t>
            </w:r>
          </w:p>
        </w:tc>
        <w:tc>
          <w:tcPr>
            <w:tcW w:w="1998" w:type="dxa"/>
          </w:tcPr>
          <w:p w14:paraId="52C69D9A" w14:textId="08D3ECF8" w:rsidR="001D344C" w:rsidRPr="0045095F" w:rsidRDefault="00FB155F" w:rsidP="001D344C">
            <w:pPr>
              <w:pStyle w:val="Tekstpodstawowywcity"/>
              <w:spacing w:after="0"/>
              <w:ind w:left="0"/>
              <w:jc w:val="right"/>
              <w:rPr>
                <w:rFonts w:ascii="Times New Roman" w:hAnsi="Times New Roman" w:cs="Times New Roman"/>
                <w:sz w:val="20"/>
                <w:szCs w:val="20"/>
              </w:rPr>
            </w:pPr>
            <w:r w:rsidRPr="0045095F">
              <w:rPr>
                <w:rFonts w:ascii="Times New Roman" w:hAnsi="Times New Roman" w:cs="Times New Roman"/>
                <w:sz w:val="20"/>
                <w:szCs w:val="20"/>
              </w:rPr>
              <w:t>n</w:t>
            </w:r>
            <w:r w:rsidR="001D344C" w:rsidRPr="0045095F">
              <w:rPr>
                <w:rFonts w:ascii="Times New Roman" w:hAnsi="Times New Roman" w:cs="Times New Roman"/>
                <w:sz w:val="20"/>
                <w:szCs w:val="20"/>
              </w:rPr>
              <w:t>ie</w:t>
            </w:r>
          </w:p>
        </w:tc>
      </w:tr>
    </w:tbl>
    <w:p w14:paraId="03371D86" w14:textId="77777777" w:rsidR="002D015F" w:rsidRPr="00ED417D" w:rsidRDefault="002D015F" w:rsidP="00236DB6">
      <w:pPr>
        <w:spacing w:after="0" w:line="240" w:lineRule="auto"/>
        <w:jc w:val="both"/>
        <w:rPr>
          <w:rFonts w:ascii="Times New Roman" w:hAnsi="Times New Roman" w:cs="Times New Roman"/>
          <w:color w:val="FF0000"/>
          <w:sz w:val="24"/>
          <w:szCs w:val="24"/>
        </w:rPr>
      </w:pPr>
    </w:p>
    <w:p w14:paraId="7474446A" w14:textId="3D59FC27" w:rsidR="002D015F" w:rsidRPr="008D04FE" w:rsidRDefault="002D015F" w:rsidP="002D015F">
      <w:pPr>
        <w:spacing w:after="0" w:line="240" w:lineRule="auto"/>
        <w:jc w:val="both"/>
        <w:rPr>
          <w:rFonts w:ascii="Times New Roman" w:hAnsi="Times New Roman" w:cs="Times New Roman"/>
          <w:sz w:val="24"/>
          <w:szCs w:val="24"/>
        </w:rPr>
      </w:pPr>
      <w:r w:rsidRPr="008D04FE">
        <w:rPr>
          <w:rFonts w:ascii="Times New Roman" w:hAnsi="Times New Roman" w:cs="Times New Roman"/>
          <w:sz w:val="24"/>
          <w:szCs w:val="24"/>
        </w:rPr>
        <w:t xml:space="preserve">przy czym przyjmuje, że branża, która stanowi przynajmniej </w:t>
      </w:r>
      <w:r w:rsidR="00FB155F" w:rsidRPr="008D04FE">
        <w:rPr>
          <w:rFonts w:ascii="Times New Roman" w:hAnsi="Times New Roman" w:cs="Times New Roman"/>
          <w:sz w:val="24"/>
          <w:szCs w:val="24"/>
        </w:rPr>
        <w:t>2</w:t>
      </w:r>
      <w:r w:rsidR="000905E2" w:rsidRPr="008D04FE">
        <w:rPr>
          <w:rFonts w:ascii="Times New Roman" w:hAnsi="Times New Roman" w:cs="Times New Roman"/>
          <w:sz w:val="24"/>
          <w:szCs w:val="24"/>
        </w:rPr>
        <w:t>0</w:t>
      </w:r>
      <w:r w:rsidRPr="008D04FE">
        <w:rPr>
          <w:rFonts w:ascii="Times New Roman" w:hAnsi="Times New Roman" w:cs="Times New Roman"/>
          <w:sz w:val="24"/>
          <w:szCs w:val="24"/>
        </w:rPr>
        <w:t>% łącznej kwoty ekspozycji kredytow</w:t>
      </w:r>
      <w:r w:rsidR="0098158B" w:rsidRPr="008D04FE">
        <w:rPr>
          <w:rFonts w:ascii="Times New Roman" w:hAnsi="Times New Roman" w:cs="Times New Roman"/>
          <w:sz w:val="24"/>
          <w:szCs w:val="24"/>
        </w:rPr>
        <w:t>ej</w:t>
      </w:r>
      <w:r w:rsidRPr="008D04FE">
        <w:rPr>
          <w:rFonts w:ascii="Times New Roman" w:hAnsi="Times New Roman" w:cs="Times New Roman"/>
          <w:sz w:val="24"/>
          <w:szCs w:val="24"/>
        </w:rPr>
        <w:t xml:space="preserve"> jest istotna.</w:t>
      </w:r>
    </w:p>
    <w:p w14:paraId="25CD92A5" w14:textId="4155E25D" w:rsidR="008978F3" w:rsidRDefault="008978F3" w:rsidP="00236DB6">
      <w:pPr>
        <w:spacing w:after="0" w:line="240" w:lineRule="auto"/>
        <w:jc w:val="both"/>
        <w:rPr>
          <w:rFonts w:ascii="Times New Roman" w:hAnsi="Times New Roman" w:cs="Times New Roman"/>
          <w:color w:val="FF0000"/>
          <w:sz w:val="24"/>
          <w:szCs w:val="24"/>
        </w:rPr>
      </w:pPr>
    </w:p>
    <w:p w14:paraId="16D9F22A" w14:textId="77777777" w:rsidR="0056679C" w:rsidRPr="00ED417D" w:rsidRDefault="0056679C" w:rsidP="00236DB6">
      <w:pPr>
        <w:spacing w:after="0" w:line="240" w:lineRule="auto"/>
        <w:jc w:val="both"/>
        <w:rPr>
          <w:rFonts w:ascii="Times New Roman" w:hAnsi="Times New Roman" w:cs="Times New Roman"/>
          <w:color w:val="FF0000"/>
          <w:sz w:val="24"/>
          <w:szCs w:val="24"/>
        </w:rPr>
      </w:pPr>
    </w:p>
    <w:p w14:paraId="0F3F2E12" w14:textId="77777777" w:rsidR="0054107A" w:rsidRPr="008D04FE" w:rsidRDefault="0054107A"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b/>
          <w:sz w:val="24"/>
          <w:szCs w:val="24"/>
        </w:rPr>
      </w:pPr>
      <w:r w:rsidRPr="008D04FE">
        <w:rPr>
          <w:rFonts w:ascii="Times New Roman" w:hAnsi="Times New Roman" w:cs="Times New Roman"/>
          <w:b/>
          <w:sz w:val="24"/>
          <w:szCs w:val="24"/>
        </w:rPr>
        <w:t>Struktura ekspozycji kredytowych według terminów zapadalności</w:t>
      </w:r>
    </w:p>
    <w:p w14:paraId="2BA6412B" w14:textId="77777777" w:rsidR="0054107A" w:rsidRPr="00ED417D" w:rsidRDefault="0054107A" w:rsidP="0054107A">
      <w:pPr>
        <w:spacing w:after="0" w:line="240" w:lineRule="auto"/>
        <w:jc w:val="both"/>
        <w:rPr>
          <w:rFonts w:ascii="Times New Roman" w:hAnsi="Times New Roman" w:cs="Times New Roman"/>
          <w:color w:val="FF0000"/>
          <w:sz w:val="24"/>
          <w:szCs w:val="24"/>
        </w:rPr>
      </w:pPr>
      <w:r w:rsidRPr="008D04FE">
        <w:rPr>
          <w:rFonts w:ascii="Times New Roman" w:hAnsi="Times New Roman" w:cs="Times New Roman"/>
          <w:sz w:val="24"/>
          <w:szCs w:val="24"/>
        </w:rPr>
        <w:t>Podział ekspozycji kredytowych według terminów zapadalności przedstawia się następująco</w:t>
      </w:r>
      <w:r w:rsidRPr="00ED417D">
        <w:rPr>
          <w:rFonts w:ascii="Times New Roman" w:hAnsi="Times New Roman" w:cs="Times New Roman"/>
          <w:color w:val="FF0000"/>
          <w:sz w:val="24"/>
          <w:szCs w:val="24"/>
        </w:rPr>
        <w:t>:</w:t>
      </w:r>
    </w:p>
    <w:p w14:paraId="508DDB31" w14:textId="5DF329D3" w:rsidR="00FC4D95" w:rsidRPr="00ED417D" w:rsidRDefault="00986F3B" w:rsidP="0054107A">
      <w:pPr>
        <w:spacing w:after="0" w:line="240" w:lineRule="auto"/>
        <w:jc w:val="both"/>
        <w:rPr>
          <w:rFonts w:ascii="Times New Roman" w:hAnsi="Times New Roman" w:cs="Times New Roman"/>
          <w:color w:val="FF0000"/>
          <w:sz w:val="24"/>
          <w:szCs w:val="24"/>
        </w:rPr>
      </w:pPr>
      <w:r w:rsidRPr="00ED417D">
        <w:rPr>
          <w:rFonts w:ascii="Times New Roman" w:hAnsi="Times New Roman" w:cs="Times New Roman"/>
          <w:color w:val="FF0000"/>
          <w:sz w:val="24"/>
          <w:szCs w:val="24"/>
        </w:rPr>
        <w:t xml:space="preserve"> </w:t>
      </w:r>
    </w:p>
    <w:tbl>
      <w:tblPr>
        <w:tblStyle w:val="Tabela-Siatka"/>
        <w:tblpPr w:leftFromText="141" w:rightFromText="141" w:vertAnchor="text" w:tblpY="1"/>
        <w:tblOverlap w:val="never"/>
        <w:tblW w:w="8047" w:type="dxa"/>
        <w:tblLook w:val="04A0" w:firstRow="1" w:lastRow="0" w:firstColumn="1" w:lastColumn="0" w:noHBand="0" w:noVBand="1"/>
      </w:tblPr>
      <w:tblGrid>
        <w:gridCol w:w="5637"/>
        <w:gridCol w:w="2410"/>
      </w:tblGrid>
      <w:tr w:rsidR="00ED417D" w:rsidRPr="00ED417D" w14:paraId="61DC6B5A" w14:textId="77777777" w:rsidTr="0054107A">
        <w:tc>
          <w:tcPr>
            <w:tcW w:w="5637" w:type="dxa"/>
            <w:shd w:val="clear" w:color="auto" w:fill="D9D9D9" w:themeFill="background1" w:themeFillShade="D9"/>
            <w:vAlign w:val="center"/>
          </w:tcPr>
          <w:p w14:paraId="6D1EB4C3" w14:textId="77777777" w:rsidR="0054107A" w:rsidRPr="00384A75" w:rsidRDefault="0054107A" w:rsidP="0054107A">
            <w:pPr>
              <w:tabs>
                <w:tab w:val="left" w:pos="1970"/>
              </w:tabs>
              <w:jc w:val="center"/>
              <w:rPr>
                <w:rFonts w:ascii="Times New Roman" w:hAnsi="Times New Roman" w:cs="Times New Roman"/>
                <w:b/>
                <w:i/>
                <w:sz w:val="20"/>
                <w:szCs w:val="20"/>
              </w:rPr>
            </w:pPr>
            <w:r w:rsidRPr="00384A75">
              <w:rPr>
                <w:rFonts w:ascii="Times New Roman" w:hAnsi="Times New Roman" w:cs="Times New Roman"/>
                <w:b/>
                <w:i/>
                <w:sz w:val="20"/>
                <w:szCs w:val="20"/>
              </w:rPr>
              <w:t>Termin zapadalności</w:t>
            </w:r>
          </w:p>
        </w:tc>
        <w:tc>
          <w:tcPr>
            <w:tcW w:w="2410" w:type="dxa"/>
            <w:shd w:val="clear" w:color="auto" w:fill="D9D9D9" w:themeFill="background1" w:themeFillShade="D9"/>
            <w:vAlign w:val="center"/>
          </w:tcPr>
          <w:p w14:paraId="4E0989C9" w14:textId="77777777" w:rsidR="0054107A" w:rsidRPr="00384A75" w:rsidRDefault="0054107A" w:rsidP="0054107A">
            <w:pPr>
              <w:jc w:val="center"/>
              <w:rPr>
                <w:rFonts w:ascii="Times New Roman" w:hAnsi="Times New Roman" w:cs="Times New Roman"/>
                <w:b/>
                <w:i/>
                <w:sz w:val="20"/>
                <w:szCs w:val="20"/>
              </w:rPr>
            </w:pPr>
            <w:r w:rsidRPr="00384A75">
              <w:rPr>
                <w:rFonts w:ascii="Times New Roman" w:hAnsi="Times New Roman" w:cs="Times New Roman"/>
                <w:b/>
                <w:i/>
                <w:sz w:val="20"/>
                <w:szCs w:val="20"/>
              </w:rPr>
              <w:t>wartość</w:t>
            </w:r>
          </w:p>
          <w:p w14:paraId="5EF7C20E" w14:textId="77777777" w:rsidR="0054107A" w:rsidRPr="00384A75" w:rsidRDefault="0054107A" w:rsidP="0054107A">
            <w:pPr>
              <w:jc w:val="center"/>
              <w:rPr>
                <w:rFonts w:ascii="Times New Roman" w:hAnsi="Times New Roman" w:cs="Times New Roman"/>
                <w:b/>
                <w:i/>
                <w:sz w:val="20"/>
                <w:szCs w:val="20"/>
              </w:rPr>
            </w:pPr>
            <w:r w:rsidRPr="00384A75">
              <w:rPr>
                <w:rFonts w:ascii="Times New Roman" w:hAnsi="Times New Roman" w:cs="Times New Roman"/>
                <w:b/>
                <w:i/>
                <w:sz w:val="20"/>
                <w:szCs w:val="20"/>
              </w:rPr>
              <w:t>tys. zł</w:t>
            </w:r>
          </w:p>
        </w:tc>
      </w:tr>
      <w:tr w:rsidR="00ED417D" w:rsidRPr="00ED417D" w14:paraId="12A8EFF9" w14:textId="77777777" w:rsidTr="0054107A">
        <w:tc>
          <w:tcPr>
            <w:tcW w:w="5637" w:type="dxa"/>
          </w:tcPr>
          <w:p w14:paraId="600F347C" w14:textId="422BE9B5" w:rsidR="0054107A" w:rsidRPr="00384A75" w:rsidRDefault="00FC4D95" w:rsidP="0054107A">
            <w:pPr>
              <w:pStyle w:val="Tekstpodstawowy2"/>
              <w:ind w:left="1" w:hanging="1"/>
              <w:jc w:val="left"/>
              <w:rPr>
                <w:rFonts w:ascii="Times New Roman" w:hAnsi="Times New Roman" w:cs="Times New Roman"/>
                <w:sz w:val="20"/>
                <w:szCs w:val="20"/>
              </w:rPr>
            </w:pPr>
            <w:r w:rsidRPr="00384A75">
              <w:rPr>
                <w:rFonts w:ascii="Times New Roman" w:hAnsi="Times New Roman" w:cs="Times New Roman"/>
                <w:sz w:val="20"/>
                <w:szCs w:val="20"/>
              </w:rPr>
              <w:t>do 1 miesiąca</w:t>
            </w:r>
            <w:r w:rsidR="0056679C">
              <w:rPr>
                <w:rFonts w:ascii="Times New Roman" w:hAnsi="Times New Roman" w:cs="Times New Roman"/>
                <w:sz w:val="20"/>
                <w:szCs w:val="20"/>
              </w:rPr>
              <w:t xml:space="preserve"> </w:t>
            </w:r>
          </w:p>
        </w:tc>
        <w:tc>
          <w:tcPr>
            <w:tcW w:w="2410" w:type="dxa"/>
          </w:tcPr>
          <w:p w14:paraId="425D5C41" w14:textId="3859C8E7" w:rsidR="005C0598" w:rsidRPr="00384A75" w:rsidRDefault="005C0598" w:rsidP="005C0598">
            <w:pPr>
              <w:pStyle w:val="Tekstpodstawowywcity"/>
              <w:spacing w:after="0"/>
              <w:ind w:left="0"/>
              <w:jc w:val="right"/>
              <w:rPr>
                <w:rFonts w:ascii="Times New Roman" w:hAnsi="Times New Roman" w:cs="Times New Roman"/>
                <w:sz w:val="20"/>
                <w:szCs w:val="20"/>
              </w:rPr>
            </w:pPr>
            <w:r>
              <w:rPr>
                <w:rFonts w:ascii="Times New Roman" w:hAnsi="Times New Roman" w:cs="Times New Roman"/>
                <w:sz w:val="20"/>
                <w:szCs w:val="20"/>
              </w:rPr>
              <w:t>4 018,94</w:t>
            </w:r>
          </w:p>
        </w:tc>
      </w:tr>
      <w:tr w:rsidR="00ED417D" w:rsidRPr="00ED417D" w14:paraId="2D477839" w14:textId="77777777" w:rsidTr="0054107A">
        <w:tc>
          <w:tcPr>
            <w:tcW w:w="5637" w:type="dxa"/>
          </w:tcPr>
          <w:p w14:paraId="760AEC6F" w14:textId="77777777" w:rsidR="0054107A" w:rsidRPr="00384A75" w:rsidRDefault="00FC4D95" w:rsidP="0054107A">
            <w:pPr>
              <w:pStyle w:val="Tekstpodstawowy2"/>
              <w:ind w:left="1" w:hanging="1"/>
              <w:jc w:val="left"/>
              <w:rPr>
                <w:rFonts w:ascii="Times New Roman" w:hAnsi="Times New Roman" w:cs="Times New Roman"/>
                <w:sz w:val="20"/>
                <w:szCs w:val="20"/>
              </w:rPr>
            </w:pPr>
            <w:r w:rsidRPr="00384A75">
              <w:rPr>
                <w:rFonts w:ascii="Times New Roman" w:hAnsi="Times New Roman" w:cs="Times New Roman"/>
                <w:sz w:val="20"/>
                <w:szCs w:val="20"/>
              </w:rPr>
              <w:t>1 – 3 miesięcy</w:t>
            </w:r>
          </w:p>
        </w:tc>
        <w:tc>
          <w:tcPr>
            <w:tcW w:w="2410" w:type="dxa"/>
          </w:tcPr>
          <w:p w14:paraId="1C1D5B62" w14:textId="67119519" w:rsidR="0054107A" w:rsidRPr="00384A75" w:rsidRDefault="005C0598" w:rsidP="003E6D87">
            <w:pPr>
              <w:pStyle w:val="Tekstpodstawowywcity"/>
              <w:spacing w:after="0"/>
              <w:ind w:left="0"/>
              <w:jc w:val="right"/>
              <w:rPr>
                <w:rFonts w:ascii="Times New Roman" w:hAnsi="Times New Roman" w:cs="Times New Roman"/>
                <w:sz w:val="20"/>
                <w:szCs w:val="20"/>
              </w:rPr>
            </w:pPr>
            <w:r>
              <w:rPr>
                <w:rFonts w:ascii="Times New Roman" w:hAnsi="Times New Roman" w:cs="Times New Roman"/>
                <w:sz w:val="20"/>
                <w:szCs w:val="20"/>
              </w:rPr>
              <w:t>2 026,22</w:t>
            </w:r>
          </w:p>
        </w:tc>
      </w:tr>
      <w:tr w:rsidR="00ED417D" w:rsidRPr="00ED417D" w14:paraId="0E9FC69F" w14:textId="77777777" w:rsidTr="0054107A">
        <w:tc>
          <w:tcPr>
            <w:tcW w:w="5637" w:type="dxa"/>
          </w:tcPr>
          <w:p w14:paraId="29DBF056" w14:textId="77777777" w:rsidR="0054107A" w:rsidRPr="00384A75" w:rsidRDefault="00FC4D95" w:rsidP="0054107A">
            <w:pPr>
              <w:pStyle w:val="Tekstpodstawowy2"/>
              <w:ind w:left="1" w:hanging="1"/>
              <w:jc w:val="left"/>
              <w:rPr>
                <w:rFonts w:ascii="Times New Roman" w:hAnsi="Times New Roman" w:cs="Times New Roman"/>
                <w:sz w:val="20"/>
                <w:szCs w:val="20"/>
              </w:rPr>
            </w:pPr>
            <w:r w:rsidRPr="00384A75">
              <w:rPr>
                <w:rFonts w:ascii="Times New Roman" w:hAnsi="Times New Roman" w:cs="Times New Roman"/>
                <w:sz w:val="20"/>
                <w:szCs w:val="20"/>
              </w:rPr>
              <w:t>3 – 6 miesięcy</w:t>
            </w:r>
          </w:p>
        </w:tc>
        <w:tc>
          <w:tcPr>
            <w:tcW w:w="2410" w:type="dxa"/>
          </w:tcPr>
          <w:p w14:paraId="759FCD9C" w14:textId="74AEE2A8" w:rsidR="0054107A" w:rsidRPr="00384A75" w:rsidRDefault="005C0598" w:rsidP="003E6D87">
            <w:pPr>
              <w:pStyle w:val="Tekstpodstawowywcity"/>
              <w:spacing w:after="0"/>
              <w:ind w:left="0"/>
              <w:jc w:val="right"/>
              <w:rPr>
                <w:rFonts w:ascii="Times New Roman" w:hAnsi="Times New Roman" w:cs="Times New Roman"/>
                <w:sz w:val="20"/>
                <w:szCs w:val="20"/>
              </w:rPr>
            </w:pPr>
            <w:r>
              <w:rPr>
                <w:rFonts w:ascii="Times New Roman" w:hAnsi="Times New Roman" w:cs="Times New Roman"/>
                <w:sz w:val="20"/>
                <w:szCs w:val="20"/>
              </w:rPr>
              <w:t>1 824,70</w:t>
            </w:r>
          </w:p>
        </w:tc>
      </w:tr>
      <w:tr w:rsidR="00ED417D" w:rsidRPr="00ED417D" w14:paraId="2213CCA6" w14:textId="77777777" w:rsidTr="0054107A">
        <w:tc>
          <w:tcPr>
            <w:tcW w:w="5637" w:type="dxa"/>
          </w:tcPr>
          <w:p w14:paraId="22937970" w14:textId="77777777" w:rsidR="0054107A"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6 – 12 miesięcy</w:t>
            </w:r>
          </w:p>
        </w:tc>
        <w:tc>
          <w:tcPr>
            <w:tcW w:w="2410" w:type="dxa"/>
          </w:tcPr>
          <w:p w14:paraId="0EA66F98" w14:textId="1BEC8ACC" w:rsidR="0054107A" w:rsidRPr="005C0598" w:rsidRDefault="005C0598"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4 343,32</w:t>
            </w:r>
          </w:p>
        </w:tc>
      </w:tr>
      <w:tr w:rsidR="00ED417D" w:rsidRPr="00ED417D" w14:paraId="2CCCED50" w14:textId="77777777" w:rsidTr="0054107A">
        <w:tc>
          <w:tcPr>
            <w:tcW w:w="5637" w:type="dxa"/>
          </w:tcPr>
          <w:p w14:paraId="6C9EB925" w14:textId="77777777" w:rsidR="0054107A"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1 rok – 2 lat</w:t>
            </w:r>
          </w:p>
        </w:tc>
        <w:tc>
          <w:tcPr>
            <w:tcW w:w="2410" w:type="dxa"/>
          </w:tcPr>
          <w:p w14:paraId="2031AD2A" w14:textId="3B60251A" w:rsidR="0054107A" w:rsidRPr="005C0598" w:rsidRDefault="005C0598"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8 252,90</w:t>
            </w:r>
          </w:p>
        </w:tc>
      </w:tr>
      <w:tr w:rsidR="00ED417D" w:rsidRPr="00ED417D" w14:paraId="14868CAC" w14:textId="77777777" w:rsidTr="0054107A">
        <w:tc>
          <w:tcPr>
            <w:tcW w:w="5637" w:type="dxa"/>
          </w:tcPr>
          <w:p w14:paraId="4CB8F3B9" w14:textId="77777777" w:rsidR="0054107A"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2 lata – 5 lat</w:t>
            </w:r>
          </w:p>
        </w:tc>
        <w:tc>
          <w:tcPr>
            <w:tcW w:w="2410" w:type="dxa"/>
          </w:tcPr>
          <w:p w14:paraId="6E6ADBFE" w14:textId="46F58DF6" w:rsidR="0054107A" w:rsidRPr="005C0598" w:rsidRDefault="005C0598"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16 704,74</w:t>
            </w:r>
          </w:p>
        </w:tc>
      </w:tr>
      <w:tr w:rsidR="00ED417D" w:rsidRPr="00ED417D" w14:paraId="57210616" w14:textId="77777777" w:rsidTr="0054107A">
        <w:tc>
          <w:tcPr>
            <w:tcW w:w="5637" w:type="dxa"/>
          </w:tcPr>
          <w:p w14:paraId="08CF5D75" w14:textId="77777777" w:rsidR="0054107A"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5 lat – 10 lat</w:t>
            </w:r>
          </w:p>
        </w:tc>
        <w:tc>
          <w:tcPr>
            <w:tcW w:w="2410" w:type="dxa"/>
          </w:tcPr>
          <w:p w14:paraId="1641031C" w14:textId="07FE58A3" w:rsidR="0054107A" w:rsidRPr="005C0598" w:rsidRDefault="003E6D87"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2</w:t>
            </w:r>
            <w:r w:rsidR="005C0598" w:rsidRPr="005C0598">
              <w:rPr>
                <w:rFonts w:ascii="Times New Roman" w:hAnsi="Times New Roman" w:cs="Times New Roman"/>
                <w:sz w:val="20"/>
                <w:szCs w:val="20"/>
              </w:rPr>
              <w:t>2 850,80</w:t>
            </w:r>
          </w:p>
        </w:tc>
      </w:tr>
      <w:tr w:rsidR="00ED417D" w:rsidRPr="00ED417D" w14:paraId="73955463" w14:textId="77777777" w:rsidTr="0054107A">
        <w:tc>
          <w:tcPr>
            <w:tcW w:w="5637" w:type="dxa"/>
          </w:tcPr>
          <w:p w14:paraId="28F36DAF" w14:textId="77777777" w:rsidR="00FC4D95"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10 lat – 20 lat</w:t>
            </w:r>
          </w:p>
        </w:tc>
        <w:tc>
          <w:tcPr>
            <w:tcW w:w="2410" w:type="dxa"/>
          </w:tcPr>
          <w:p w14:paraId="1DC39770" w14:textId="203FF12F" w:rsidR="00FC4D95" w:rsidRPr="005C0598" w:rsidRDefault="005C0598"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19 602,11</w:t>
            </w:r>
          </w:p>
        </w:tc>
      </w:tr>
      <w:tr w:rsidR="00ED417D" w:rsidRPr="00ED417D" w14:paraId="19CA07CB" w14:textId="77777777" w:rsidTr="0054107A">
        <w:tc>
          <w:tcPr>
            <w:tcW w:w="5637" w:type="dxa"/>
          </w:tcPr>
          <w:p w14:paraId="42D35CB7" w14:textId="77777777" w:rsidR="00FC4D95" w:rsidRPr="005C0598" w:rsidRDefault="00FC4D95" w:rsidP="0054107A">
            <w:pPr>
              <w:pStyle w:val="Tekstpodstawowy2"/>
              <w:ind w:left="1" w:hanging="1"/>
              <w:jc w:val="left"/>
              <w:rPr>
                <w:rFonts w:ascii="Times New Roman" w:hAnsi="Times New Roman" w:cs="Times New Roman"/>
                <w:sz w:val="20"/>
                <w:szCs w:val="20"/>
              </w:rPr>
            </w:pPr>
            <w:r w:rsidRPr="005C0598">
              <w:rPr>
                <w:rFonts w:ascii="Times New Roman" w:hAnsi="Times New Roman" w:cs="Times New Roman"/>
                <w:sz w:val="20"/>
                <w:szCs w:val="20"/>
              </w:rPr>
              <w:t>powyżej 20 lat</w:t>
            </w:r>
          </w:p>
        </w:tc>
        <w:tc>
          <w:tcPr>
            <w:tcW w:w="2410" w:type="dxa"/>
          </w:tcPr>
          <w:p w14:paraId="4198B0F9" w14:textId="66ED1A50" w:rsidR="00FC4D95" w:rsidRPr="005C0598" w:rsidRDefault="005C0598" w:rsidP="003E6D87">
            <w:pPr>
              <w:pStyle w:val="Tekstpodstawowywcity"/>
              <w:spacing w:after="0"/>
              <w:ind w:left="0"/>
              <w:jc w:val="right"/>
              <w:rPr>
                <w:rFonts w:ascii="Times New Roman" w:hAnsi="Times New Roman" w:cs="Times New Roman"/>
                <w:sz w:val="20"/>
                <w:szCs w:val="20"/>
              </w:rPr>
            </w:pPr>
            <w:r w:rsidRPr="005C0598">
              <w:rPr>
                <w:rFonts w:ascii="Times New Roman" w:hAnsi="Times New Roman" w:cs="Times New Roman"/>
                <w:sz w:val="20"/>
                <w:szCs w:val="20"/>
              </w:rPr>
              <w:t>14 088,01</w:t>
            </w:r>
          </w:p>
        </w:tc>
      </w:tr>
    </w:tbl>
    <w:p w14:paraId="7699A739" w14:textId="77777777" w:rsidR="00FC4D95" w:rsidRPr="00ED417D" w:rsidRDefault="00FC4D95" w:rsidP="0054107A">
      <w:pPr>
        <w:spacing w:after="0" w:line="240" w:lineRule="auto"/>
        <w:jc w:val="both"/>
        <w:rPr>
          <w:rFonts w:ascii="Times New Roman" w:hAnsi="Times New Roman" w:cs="Times New Roman"/>
          <w:color w:val="FF0000"/>
          <w:sz w:val="24"/>
          <w:szCs w:val="24"/>
        </w:rPr>
      </w:pPr>
    </w:p>
    <w:p w14:paraId="7FB1238C" w14:textId="77777777" w:rsidR="00AD4DED" w:rsidRPr="00ED417D" w:rsidRDefault="00AD4DED" w:rsidP="0054107A">
      <w:pPr>
        <w:spacing w:after="0" w:line="240" w:lineRule="auto"/>
        <w:jc w:val="both"/>
        <w:rPr>
          <w:rFonts w:ascii="Times New Roman" w:hAnsi="Times New Roman" w:cs="Times New Roman"/>
          <w:color w:val="FF0000"/>
          <w:sz w:val="24"/>
          <w:szCs w:val="24"/>
        </w:rPr>
      </w:pPr>
    </w:p>
    <w:p w14:paraId="49ADBD27" w14:textId="77777777" w:rsidR="00AD4DED" w:rsidRPr="00ED417D" w:rsidRDefault="00AD4DED" w:rsidP="0054107A">
      <w:pPr>
        <w:spacing w:after="0" w:line="240" w:lineRule="auto"/>
        <w:jc w:val="both"/>
        <w:rPr>
          <w:rFonts w:ascii="Times New Roman" w:hAnsi="Times New Roman" w:cs="Times New Roman"/>
          <w:color w:val="FF0000"/>
          <w:sz w:val="24"/>
          <w:szCs w:val="24"/>
        </w:rPr>
      </w:pPr>
    </w:p>
    <w:p w14:paraId="68E89F05"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345B0219"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2C71AA8D"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26502D29"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1926B90B"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712ADFBA" w14:textId="77777777" w:rsidR="00214E5A" w:rsidRPr="00ED417D" w:rsidRDefault="00214E5A" w:rsidP="0054107A">
      <w:pPr>
        <w:spacing w:after="0" w:line="240" w:lineRule="auto"/>
        <w:jc w:val="both"/>
        <w:rPr>
          <w:rFonts w:ascii="Times New Roman" w:hAnsi="Times New Roman" w:cs="Times New Roman"/>
          <w:color w:val="FF0000"/>
          <w:sz w:val="24"/>
          <w:szCs w:val="24"/>
        </w:rPr>
      </w:pPr>
    </w:p>
    <w:p w14:paraId="15E997CB" w14:textId="3D710B02" w:rsidR="00BE1CD9" w:rsidRPr="006A24B4" w:rsidRDefault="00BE1CD9" w:rsidP="00D94116">
      <w:pPr>
        <w:spacing w:after="0" w:line="240" w:lineRule="auto"/>
        <w:jc w:val="both"/>
        <w:rPr>
          <w:rFonts w:ascii="Times New Roman" w:hAnsi="Times New Roman" w:cs="Times New Roman"/>
          <w:sz w:val="24"/>
          <w:szCs w:val="24"/>
        </w:rPr>
      </w:pPr>
    </w:p>
    <w:p w14:paraId="34C01169" w14:textId="4033A405" w:rsidR="00BE1CD9" w:rsidRDefault="00BE1CD9" w:rsidP="00D94116">
      <w:pPr>
        <w:spacing w:after="0" w:line="240" w:lineRule="auto"/>
        <w:jc w:val="both"/>
        <w:rPr>
          <w:rFonts w:ascii="Times New Roman" w:hAnsi="Times New Roman" w:cs="Times New Roman"/>
          <w:sz w:val="24"/>
          <w:szCs w:val="24"/>
        </w:rPr>
      </w:pPr>
    </w:p>
    <w:p w14:paraId="18282604" w14:textId="574724E5" w:rsidR="0056679C" w:rsidRDefault="0056679C" w:rsidP="00D94116">
      <w:pPr>
        <w:spacing w:after="0" w:line="240" w:lineRule="auto"/>
        <w:jc w:val="both"/>
        <w:rPr>
          <w:rFonts w:ascii="Times New Roman" w:hAnsi="Times New Roman" w:cs="Times New Roman"/>
          <w:sz w:val="24"/>
          <w:szCs w:val="24"/>
        </w:rPr>
      </w:pPr>
    </w:p>
    <w:p w14:paraId="5F5F3CEE" w14:textId="63B16B33" w:rsidR="0056679C" w:rsidRDefault="0056679C" w:rsidP="00D94116">
      <w:pPr>
        <w:spacing w:after="0" w:line="240" w:lineRule="auto"/>
        <w:jc w:val="both"/>
        <w:rPr>
          <w:rFonts w:ascii="Times New Roman" w:hAnsi="Times New Roman" w:cs="Times New Roman"/>
          <w:sz w:val="24"/>
          <w:szCs w:val="24"/>
        </w:rPr>
      </w:pPr>
    </w:p>
    <w:p w14:paraId="286A5D38" w14:textId="1386F115" w:rsidR="0056679C" w:rsidRDefault="0056679C" w:rsidP="00D94116">
      <w:pPr>
        <w:spacing w:after="0" w:line="240" w:lineRule="auto"/>
        <w:jc w:val="both"/>
        <w:rPr>
          <w:rFonts w:ascii="Times New Roman" w:hAnsi="Times New Roman" w:cs="Times New Roman"/>
          <w:sz w:val="24"/>
          <w:szCs w:val="24"/>
        </w:rPr>
      </w:pPr>
    </w:p>
    <w:p w14:paraId="3ADB6DE6" w14:textId="0F13DE09" w:rsidR="0056679C" w:rsidRDefault="0056679C" w:rsidP="00D94116">
      <w:pPr>
        <w:spacing w:after="0" w:line="240" w:lineRule="auto"/>
        <w:jc w:val="both"/>
        <w:rPr>
          <w:rFonts w:ascii="Times New Roman" w:hAnsi="Times New Roman" w:cs="Times New Roman"/>
          <w:sz w:val="24"/>
          <w:szCs w:val="24"/>
        </w:rPr>
      </w:pPr>
    </w:p>
    <w:p w14:paraId="0839ABB5" w14:textId="277CE738" w:rsidR="0056679C" w:rsidRDefault="0056679C" w:rsidP="00D94116">
      <w:pPr>
        <w:spacing w:after="0" w:line="240" w:lineRule="auto"/>
        <w:jc w:val="both"/>
        <w:rPr>
          <w:rFonts w:ascii="Times New Roman" w:hAnsi="Times New Roman" w:cs="Times New Roman"/>
          <w:sz w:val="24"/>
          <w:szCs w:val="24"/>
        </w:rPr>
      </w:pPr>
    </w:p>
    <w:p w14:paraId="7DBF061D" w14:textId="245A7E46" w:rsidR="0056679C" w:rsidRDefault="0056679C" w:rsidP="00D94116">
      <w:pPr>
        <w:spacing w:after="0" w:line="240" w:lineRule="auto"/>
        <w:jc w:val="both"/>
        <w:rPr>
          <w:rFonts w:ascii="Times New Roman" w:hAnsi="Times New Roman" w:cs="Times New Roman"/>
          <w:sz w:val="24"/>
          <w:szCs w:val="24"/>
        </w:rPr>
      </w:pPr>
    </w:p>
    <w:p w14:paraId="3EAB0119" w14:textId="77777777" w:rsidR="0056679C" w:rsidRPr="006A24B4" w:rsidRDefault="0056679C" w:rsidP="00D94116">
      <w:pPr>
        <w:spacing w:after="0" w:line="240" w:lineRule="auto"/>
        <w:jc w:val="both"/>
        <w:rPr>
          <w:rFonts w:ascii="Times New Roman" w:hAnsi="Times New Roman" w:cs="Times New Roman"/>
          <w:sz w:val="24"/>
          <w:szCs w:val="24"/>
        </w:rPr>
      </w:pPr>
    </w:p>
    <w:p w14:paraId="1C0633EA" w14:textId="77777777" w:rsidR="00383DDD" w:rsidRPr="006A24B4" w:rsidRDefault="00383DDD"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426" w:hanging="426"/>
        <w:jc w:val="both"/>
        <w:rPr>
          <w:rFonts w:ascii="Times New Roman" w:hAnsi="Times New Roman" w:cs="Times New Roman"/>
          <w:sz w:val="24"/>
          <w:szCs w:val="24"/>
        </w:rPr>
      </w:pPr>
      <w:r w:rsidRPr="006A24B4">
        <w:rPr>
          <w:rFonts w:ascii="Times New Roman" w:hAnsi="Times New Roman" w:cs="Times New Roman"/>
          <w:b/>
          <w:sz w:val="24"/>
          <w:szCs w:val="24"/>
        </w:rPr>
        <w:t>Zmiana stanu korekt i rezerw</w:t>
      </w:r>
      <w:r w:rsidR="004E4833" w:rsidRPr="006A24B4">
        <w:rPr>
          <w:rFonts w:ascii="Times New Roman" w:hAnsi="Times New Roman" w:cs="Times New Roman"/>
          <w:b/>
          <w:sz w:val="24"/>
          <w:szCs w:val="24"/>
        </w:rPr>
        <w:t>/odpisów</w:t>
      </w:r>
      <w:r w:rsidRPr="006A24B4">
        <w:rPr>
          <w:rFonts w:ascii="Times New Roman" w:hAnsi="Times New Roman" w:cs="Times New Roman"/>
          <w:b/>
          <w:sz w:val="24"/>
          <w:szCs w:val="24"/>
        </w:rPr>
        <w:t xml:space="preserve"> z tytułu ekspozycji zagrożonych</w:t>
      </w:r>
      <w:r w:rsidR="006A389E" w:rsidRPr="006A24B4">
        <w:rPr>
          <w:rFonts w:ascii="Times New Roman" w:hAnsi="Times New Roman" w:cs="Times New Roman"/>
          <w:b/>
          <w:sz w:val="24"/>
          <w:szCs w:val="24"/>
        </w:rPr>
        <w:t xml:space="preserve"> wraz z saldem początkowym i końcowym</w:t>
      </w:r>
    </w:p>
    <w:p w14:paraId="3502518E" w14:textId="77777777" w:rsidR="00987923" w:rsidRPr="006A24B4" w:rsidRDefault="00987923" w:rsidP="00236DB6">
      <w:pPr>
        <w:spacing w:after="0" w:line="240" w:lineRule="auto"/>
        <w:jc w:val="both"/>
        <w:rPr>
          <w:rFonts w:ascii="Times New Roman" w:hAnsi="Times New Roman" w:cs="Times New Roman"/>
          <w:sz w:val="24"/>
          <w:szCs w:val="24"/>
        </w:rPr>
      </w:pPr>
    </w:p>
    <w:tbl>
      <w:tblPr>
        <w:tblStyle w:val="Tabela-Siatka"/>
        <w:tblpPr w:leftFromText="141" w:rightFromText="141" w:vertAnchor="text" w:tblpY="1"/>
        <w:tblOverlap w:val="never"/>
        <w:tblW w:w="9005" w:type="dxa"/>
        <w:tblLook w:val="04A0" w:firstRow="1" w:lastRow="0" w:firstColumn="1" w:lastColumn="0" w:noHBand="0" w:noVBand="1"/>
      </w:tblPr>
      <w:tblGrid>
        <w:gridCol w:w="2235"/>
        <w:gridCol w:w="1692"/>
        <w:gridCol w:w="1693"/>
        <w:gridCol w:w="1692"/>
        <w:gridCol w:w="1693"/>
      </w:tblGrid>
      <w:tr w:rsidR="006A24B4" w:rsidRPr="006A24B4" w14:paraId="39F6F7D2" w14:textId="77777777" w:rsidTr="003E299A">
        <w:tc>
          <w:tcPr>
            <w:tcW w:w="2235" w:type="dxa"/>
            <w:vMerge w:val="restart"/>
            <w:shd w:val="clear" w:color="auto" w:fill="D9D9D9" w:themeFill="background1" w:themeFillShade="D9"/>
            <w:vAlign w:val="center"/>
          </w:tcPr>
          <w:p w14:paraId="34FF7B3F" w14:textId="77777777" w:rsidR="003E299A" w:rsidRPr="006A24B4" w:rsidRDefault="003E299A" w:rsidP="00FE4A23">
            <w:pPr>
              <w:tabs>
                <w:tab w:val="left" w:pos="1970"/>
              </w:tabs>
              <w:jc w:val="center"/>
              <w:rPr>
                <w:rFonts w:ascii="Times New Roman" w:hAnsi="Times New Roman" w:cs="Times New Roman"/>
                <w:b/>
                <w:i/>
                <w:sz w:val="20"/>
                <w:szCs w:val="20"/>
              </w:rPr>
            </w:pPr>
            <w:r w:rsidRPr="006A24B4">
              <w:rPr>
                <w:rFonts w:ascii="Times New Roman" w:hAnsi="Times New Roman" w:cs="Times New Roman"/>
                <w:b/>
                <w:i/>
                <w:sz w:val="20"/>
                <w:szCs w:val="20"/>
              </w:rPr>
              <w:t>Kategoria</w:t>
            </w:r>
          </w:p>
        </w:tc>
        <w:tc>
          <w:tcPr>
            <w:tcW w:w="3385" w:type="dxa"/>
            <w:gridSpan w:val="2"/>
            <w:shd w:val="clear" w:color="auto" w:fill="D9D9D9" w:themeFill="background1" w:themeFillShade="D9"/>
            <w:vAlign w:val="center"/>
          </w:tcPr>
          <w:p w14:paraId="4827DE60" w14:textId="77777777" w:rsidR="003E299A" w:rsidRPr="006A24B4" w:rsidRDefault="003E299A" w:rsidP="00FE4A23">
            <w:pPr>
              <w:jc w:val="center"/>
              <w:rPr>
                <w:rFonts w:ascii="Times New Roman" w:hAnsi="Times New Roman" w:cs="Times New Roman"/>
                <w:b/>
                <w:i/>
                <w:sz w:val="20"/>
                <w:szCs w:val="20"/>
              </w:rPr>
            </w:pPr>
            <w:r w:rsidRPr="006A24B4">
              <w:rPr>
                <w:rFonts w:ascii="Times New Roman" w:hAnsi="Times New Roman" w:cs="Times New Roman"/>
                <w:b/>
                <w:i/>
                <w:sz w:val="20"/>
                <w:szCs w:val="20"/>
              </w:rPr>
              <w:t>Saldo początkowe</w:t>
            </w:r>
          </w:p>
        </w:tc>
        <w:tc>
          <w:tcPr>
            <w:tcW w:w="3385" w:type="dxa"/>
            <w:gridSpan w:val="2"/>
            <w:shd w:val="clear" w:color="auto" w:fill="D9D9D9" w:themeFill="background1" w:themeFillShade="D9"/>
          </w:tcPr>
          <w:p w14:paraId="3C8AF572" w14:textId="77777777" w:rsidR="003E299A" w:rsidRPr="006A24B4" w:rsidRDefault="003E299A" w:rsidP="00FE4A23">
            <w:pPr>
              <w:jc w:val="center"/>
              <w:rPr>
                <w:rFonts w:ascii="Times New Roman" w:hAnsi="Times New Roman" w:cs="Times New Roman"/>
                <w:b/>
                <w:i/>
                <w:sz w:val="20"/>
                <w:szCs w:val="20"/>
              </w:rPr>
            </w:pPr>
            <w:r w:rsidRPr="006A24B4">
              <w:rPr>
                <w:rFonts w:ascii="Times New Roman" w:hAnsi="Times New Roman" w:cs="Times New Roman"/>
                <w:b/>
                <w:i/>
                <w:sz w:val="20"/>
                <w:szCs w:val="20"/>
              </w:rPr>
              <w:t>Saldo końcowe</w:t>
            </w:r>
          </w:p>
        </w:tc>
      </w:tr>
      <w:tr w:rsidR="00ED417D" w:rsidRPr="00ED417D" w14:paraId="251A1E32" w14:textId="77777777" w:rsidTr="003E299A">
        <w:tc>
          <w:tcPr>
            <w:tcW w:w="2235" w:type="dxa"/>
            <w:vMerge/>
            <w:shd w:val="clear" w:color="auto" w:fill="D9D9D9" w:themeFill="background1" w:themeFillShade="D9"/>
            <w:vAlign w:val="center"/>
          </w:tcPr>
          <w:p w14:paraId="528E1239" w14:textId="77777777" w:rsidR="003E299A" w:rsidRPr="00ED417D" w:rsidRDefault="003E299A" w:rsidP="003E299A">
            <w:pPr>
              <w:tabs>
                <w:tab w:val="left" w:pos="1970"/>
              </w:tabs>
              <w:jc w:val="center"/>
              <w:rPr>
                <w:rFonts w:ascii="Times New Roman" w:hAnsi="Times New Roman" w:cs="Times New Roman"/>
                <w:b/>
                <w:i/>
                <w:color w:val="FF0000"/>
                <w:sz w:val="20"/>
                <w:szCs w:val="20"/>
              </w:rPr>
            </w:pPr>
          </w:p>
        </w:tc>
        <w:tc>
          <w:tcPr>
            <w:tcW w:w="1692" w:type="dxa"/>
            <w:shd w:val="clear" w:color="auto" w:fill="D9D9D9" w:themeFill="background1" w:themeFillShade="D9"/>
            <w:vAlign w:val="center"/>
          </w:tcPr>
          <w:p w14:paraId="2F5DF3DE" w14:textId="77777777" w:rsidR="003E299A" w:rsidRPr="006A24B4" w:rsidRDefault="003E299A" w:rsidP="003E299A">
            <w:pPr>
              <w:jc w:val="center"/>
              <w:rPr>
                <w:rFonts w:ascii="Times New Roman" w:hAnsi="Times New Roman" w:cs="Times New Roman"/>
                <w:b/>
                <w:i/>
                <w:sz w:val="20"/>
                <w:szCs w:val="20"/>
              </w:rPr>
            </w:pPr>
            <w:r w:rsidRPr="006A24B4">
              <w:rPr>
                <w:rFonts w:ascii="Times New Roman" w:hAnsi="Times New Roman" w:cs="Times New Roman"/>
                <w:b/>
                <w:i/>
                <w:sz w:val="20"/>
                <w:szCs w:val="20"/>
              </w:rPr>
              <w:t>Rezerwy celowe</w:t>
            </w:r>
          </w:p>
        </w:tc>
        <w:tc>
          <w:tcPr>
            <w:tcW w:w="1693" w:type="dxa"/>
            <w:shd w:val="clear" w:color="auto" w:fill="D9D9D9" w:themeFill="background1" w:themeFillShade="D9"/>
          </w:tcPr>
          <w:p w14:paraId="42615959" w14:textId="77777777" w:rsidR="003E299A" w:rsidRPr="006A24B4" w:rsidRDefault="003E299A" w:rsidP="003E299A">
            <w:pPr>
              <w:jc w:val="center"/>
              <w:rPr>
                <w:rFonts w:ascii="Times New Roman" w:hAnsi="Times New Roman" w:cs="Times New Roman"/>
                <w:b/>
                <w:i/>
                <w:sz w:val="20"/>
                <w:szCs w:val="20"/>
              </w:rPr>
            </w:pPr>
            <w:r w:rsidRPr="006A24B4">
              <w:rPr>
                <w:rFonts w:ascii="Times New Roman" w:hAnsi="Times New Roman" w:cs="Times New Roman"/>
                <w:b/>
                <w:i/>
                <w:sz w:val="20"/>
                <w:szCs w:val="20"/>
              </w:rPr>
              <w:t>Odpisy na odsetki</w:t>
            </w:r>
          </w:p>
        </w:tc>
        <w:tc>
          <w:tcPr>
            <w:tcW w:w="1692" w:type="dxa"/>
            <w:shd w:val="clear" w:color="auto" w:fill="D9D9D9" w:themeFill="background1" w:themeFillShade="D9"/>
            <w:vAlign w:val="center"/>
          </w:tcPr>
          <w:p w14:paraId="2BAD9309" w14:textId="77777777" w:rsidR="003E299A" w:rsidRPr="006A24B4" w:rsidRDefault="003E299A" w:rsidP="003E299A">
            <w:pPr>
              <w:jc w:val="center"/>
              <w:rPr>
                <w:rFonts w:ascii="Times New Roman" w:hAnsi="Times New Roman" w:cs="Times New Roman"/>
                <w:b/>
                <w:i/>
                <w:sz w:val="20"/>
                <w:szCs w:val="20"/>
              </w:rPr>
            </w:pPr>
            <w:r w:rsidRPr="006A24B4">
              <w:rPr>
                <w:rFonts w:ascii="Times New Roman" w:hAnsi="Times New Roman" w:cs="Times New Roman"/>
                <w:b/>
                <w:i/>
                <w:sz w:val="20"/>
                <w:szCs w:val="20"/>
              </w:rPr>
              <w:t>Rezerwy celowe</w:t>
            </w:r>
          </w:p>
        </w:tc>
        <w:tc>
          <w:tcPr>
            <w:tcW w:w="1693" w:type="dxa"/>
            <w:shd w:val="clear" w:color="auto" w:fill="D9D9D9" w:themeFill="background1" w:themeFillShade="D9"/>
          </w:tcPr>
          <w:p w14:paraId="3CEE82BB" w14:textId="77777777" w:rsidR="003E299A" w:rsidRPr="006A24B4" w:rsidRDefault="003E299A" w:rsidP="003E299A">
            <w:pPr>
              <w:jc w:val="center"/>
              <w:rPr>
                <w:rFonts w:ascii="Times New Roman" w:hAnsi="Times New Roman" w:cs="Times New Roman"/>
                <w:b/>
                <w:i/>
                <w:sz w:val="20"/>
                <w:szCs w:val="20"/>
              </w:rPr>
            </w:pPr>
            <w:r w:rsidRPr="006A24B4">
              <w:rPr>
                <w:rFonts w:ascii="Times New Roman" w:hAnsi="Times New Roman" w:cs="Times New Roman"/>
                <w:b/>
                <w:i/>
                <w:sz w:val="20"/>
                <w:szCs w:val="20"/>
              </w:rPr>
              <w:t>Odpisy na odsetki</w:t>
            </w:r>
          </w:p>
        </w:tc>
      </w:tr>
      <w:tr w:rsidR="00ED417D" w:rsidRPr="00ED417D" w14:paraId="09F6B5B3" w14:textId="77777777" w:rsidTr="003E299A">
        <w:tc>
          <w:tcPr>
            <w:tcW w:w="2235" w:type="dxa"/>
          </w:tcPr>
          <w:p w14:paraId="76052AF8" w14:textId="77777777" w:rsidR="003E299A" w:rsidRPr="006A24B4" w:rsidRDefault="003E299A" w:rsidP="003E299A">
            <w:pPr>
              <w:pStyle w:val="Tekstpodstawowy2"/>
              <w:ind w:left="1" w:hanging="1"/>
              <w:jc w:val="left"/>
              <w:rPr>
                <w:rFonts w:ascii="Times New Roman" w:hAnsi="Times New Roman" w:cs="Times New Roman"/>
                <w:sz w:val="20"/>
                <w:szCs w:val="20"/>
              </w:rPr>
            </w:pPr>
            <w:r w:rsidRPr="006A24B4">
              <w:rPr>
                <w:rFonts w:ascii="Times New Roman" w:hAnsi="Times New Roman" w:cs="Times New Roman"/>
                <w:b/>
                <w:i/>
                <w:sz w:val="20"/>
                <w:szCs w:val="20"/>
              </w:rPr>
              <w:t>Poniżej standardu</w:t>
            </w:r>
          </w:p>
        </w:tc>
        <w:tc>
          <w:tcPr>
            <w:tcW w:w="1692" w:type="dxa"/>
          </w:tcPr>
          <w:p w14:paraId="3F4E5EE2" w14:textId="4E489839" w:rsidR="003E299A" w:rsidRPr="00B03AA6" w:rsidRDefault="00B03AA6" w:rsidP="00B03AA6">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c>
          <w:tcPr>
            <w:tcW w:w="1693" w:type="dxa"/>
          </w:tcPr>
          <w:p w14:paraId="3C9AE86E" w14:textId="00FA8850" w:rsidR="003E299A" w:rsidRPr="00B03AA6" w:rsidRDefault="00893CCD"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w:t>
            </w:r>
            <w:r w:rsidR="00B03AA6" w:rsidRPr="00B03AA6">
              <w:rPr>
                <w:rFonts w:ascii="Times New Roman" w:hAnsi="Times New Roman" w:cs="Times New Roman"/>
                <w:sz w:val="20"/>
                <w:szCs w:val="20"/>
              </w:rPr>
              <w:t>00</w:t>
            </w:r>
          </w:p>
        </w:tc>
        <w:tc>
          <w:tcPr>
            <w:tcW w:w="1692" w:type="dxa"/>
          </w:tcPr>
          <w:p w14:paraId="1DD3A61F" w14:textId="0AEB29FB"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c>
          <w:tcPr>
            <w:tcW w:w="1693" w:type="dxa"/>
          </w:tcPr>
          <w:p w14:paraId="5B98A4CA" w14:textId="533799DA"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r>
      <w:tr w:rsidR="00ED417D" w:rsidRPr="00ED417D" w14:paraId="7CD29DE8" w14:textId="77777777" w:rsidTr="003E299A">
        <w:tc>
          <w:tcPr>
            <w:tcW w:w="2235" w:type="dxa"/>
          </w:tcPr>
          <w:p w14:paraId="58A53F1C" w14:textId="77777777" w:rsidR="003E299A" w:rsidRPr="006A24B4" w:rsidRDefault="003E299A" w:rsidP="003E299A">
            <w:pPr>
              <w:pStyle w:val="Tekstpodstawowy2"/>
              <w:ind w:left="1" w:hanging="1"/>
              <w:jc w:val="left"/>
              <w:rPr>
                <w:rFonts w:ascii="Times New Roman" w:hAnsi="Times New Roman" w:cs="Times New Roman"/>
                <w:sz w:val="20"/>
                <w:szCs w:val="20"/>
              </w:rPr>
            </w:pPr>
            <w:r w:rsidRPr="006A24B4">
              <w:rPr>
                <w:rFonts w:ascii="Times New Roman" w:hAnsi="Times New Roman" w:cs="Times New Roman"/>
                <w:b/>
                <w:i/>
                <w:sz w:val="20"/>
                <w:szCs w:val="20"/>
              </w:rPr>
              <w:t>Wątpliwe</w:t>
            </w:r>
          </w:p>
        </w:tc>
        <w:tc>
          <w:tcPr>
            <w:tcW w:w="1692" w:type="dxa"/>
          </w:tcPr>
          <w:p w14:paraId="56730005" w14:textId="3CF98F86"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c>
          <w:tcPr>
            <w:tcW w:w="1693" w:type="dxa"/>
          </w:tcPr>
          <w:p w14:paraId="14D49A68" w14:textId="2262DDD1"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c>
          <w:tcPr>
            <w:tcW w:w="1692" w:type="dxa"/>
          </w:tcPr>
          <w:p w14:paraId="3B345269" w14:textId="01824390" w:rsidR="003E299A" w:rsidRPr="00B03AA6" w:rsidRDefault="00B03AA6"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135,95</w:t>
            </w:r>
          </w:p>
        </w:tc>
        <w:tc>
          <w:tcPr>
            <w:tcW w:w="1693" w:type="dxa"/>
          </w:tcPr>
          <w:p w14:paraId="614A5CAF" w14:textId="080983A3"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0,00</w:t>
            </w:r>
          </w:p>
        </w:tc>
      </w:tr>
      <w:tr w:rsidR="00ED417D" w:rsidRPr="00ED417D" w14:paraId="429ACFB3" w14:textId="77777777" w:rsidTr="003E299A">
        <w:tc>
          <w:tcPr>
            <w:tcW w:w="2235" w:type="dxa"/>
          </w:tcPr>
          <w:p w14:paraId="3700C28B" w14:textId="77777777" w:rsidR="003E299A" w:rsidRPr="006A24B4" w:rsidRDefault="003E299A" w:rsidP="003E299A">
            <w:pPr>
              <w:pStyle w:val="Tekstpodstawowy2"/>
              <w:ind w:left="1" w:hanging="1"/>
              <w:jc w:val="left"/>
              <w:rPr>
                <w:rFonts w:ascii="Times New Roman" w:hAnsi="Times New Roman" w:cs="Times New Roman"/>
                <w:sz w:val="20"/>
                <w:szCs w:val="20"/>
              </w:rPr>
            </w:pPr>
            <w:r w:rsidRPr="006A24B4">
              <w:rPr>
                <w:rFonts w:ascii="Times New Roman" w:hAnsi="Times New Roman" w:cs="Times New Roman"/>
                <w:b/>
                <w:i/>
                <w:sz w:val="20"/>
                <w:szCs w:val="20"/>
              </w:rPr>
              <w:t>Stracone</w:t>
            </w:r>
          </w:p>
        </w:tc>
        <w:tc>
          <w:tcPr>
            <w:tcW w:w="1692" w:type="dxa"/>
          </w:tcPr>
          <w:p w14:paraId="333432AD" w14:textId="796952DF" w:rsidR="003E299A" w:rsidRPr="00B03AA6" w:rsidRDefault="00B03AA6"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745,64</w:t>
            </w:r>
          </w:p>
        </w:tc>
        <w:tc>
          <w:tcPr>
            <w:tcW w:w="1693" w:type="dxa"/>
          </w:tcPr>
          <w:p w14:paraId="7488EB10" w14:textId="7C9AC4C6" w:rsidR="003E299A" w:rsidRPr="00B03AA6" w:rsidRDefault="00B03AA6"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10,71</w:t>
            </w:r>
          </w:p>
        </w:tc>
        <w:tc>
          <w:tcPr>
            <w:tcW w:w="1692" w:type="dxa"/>
          </w:tcPr>
          <w:p w14:paraId="43AECB4F" w14:textId="26854BB6" w:rsidR="003E299A" w:rsidRPr="00B03AA6" w:rsidRDefault="00645853" w:rsidP="00645853">
            <w:pPr>
              <w:pStyle w:val="Tekstpodstawowywcity"/>
              <w:spacing w:after="0"/>
              <w:ind w:left="0"/>
              <w:jc w:val="right"/>
              <w:rPr>
                <w:rFonts w:ascii="Times New Roman" w:hAnsi="Times New Roman" w:cs="Times New Roman"/>
                <w:sz w:val="20"/>
                <w:szCs w:val="20"/>
              </w:rPr>
            </w:pPr>
            <w:r w:rsidRPr="00B03AA6">
              <w:rPr>
                <w:rFonts w:ascii="Times New Roman" w:hAnsi="Times New Roman" w:cs="Times New Roman"/>
                <w:sz w:val="20"/>
                <w:szCs w:val="20"/>
              </w:rPr>
              <w:t>7</w:t>
            </w:r>
            <w:r w:rsidR="00B03AA6">
              <w:rPr>
                <w:rFonts w:ascii="Times New Roman" w:hAnsi="Times New Roman" w:cs="Times New Roman"/>
                <w:sz w:val="20"/>
                <w:szCs w:val="20"/>
              </w:rPr>
              <w:t>95,87</w:t>
            </w:r>
          </w:p>
        </w:tc>
        <w:tc>
          <w:tcPr>
            <w:tcW w:w="1693" w:type="dxa"/>
          </w:tcPr>
          <w:p w14:paraId="23BA7157" w14:textId="2A0A47B7" w:rsidR="003E299A" w:rsidRPr="00B03AA6" w:rsidRDefault="00B03AA6" w:rsidP="00645853">
            <w:pPr>
              <w:pStyle w:val="Tekstpodstawowywcity"/>
              <w:spacing w:after="0"/>
              <w:ind w:left="0"/>
              <w:jc w:val="right"/>
              <w:rPr>
                <w:rFonts w:ascii="Times New Roman" w:hAnsi="Times New Roman" w:cs="Times New Roman"/>
                <w:sz w:val="20"/>
                <w:szCs w:val="20"/>
              </w:rPr>
            </w:pPr>
            <w:r>
              <w:rPr>
                <w:rFonts w:ascii="Times New Roman" w:hAnsi="Times New Roman" w:cs="Times New Roman"/>
                <w:sz w:val="20"/>
                <w:szCs w:val="20"/>
              </w:rPr>
              <w:t>13,17</w:t>
            </w:r>
          </w:p>
        </w:tc>
      </w:tr>
    </w:tbl>
    <w:p w14:paraId="481EEF9A" w14:textId="77777777" w:rsidR="008F084B" w:rsidRPr="00ED417D" w:rsidRDefault="008F084B" w:rsidP="00236DB6">
      <w:pPr>
        <w:spacing w:after="0" w:line="240" w:lineRule="auto"/>
        <w:jc w:val="both"/>
        <w:rPr>
          <w:rFonts w:ascii="Times New Roman" w:hAnsi="Times New Roman" w:cs="Times New Roman"/>
          <w:color w:val="FF0000"/>
          <w:sz w:val="24"/>
          <w:szCs w:val="24"/>
        </w:rPr>
      </w:pPr>
    </w:p>
    <w:p w14:paraId="65DABE29" w14:textId="77777777" w:rsidR="008F084B" w:rsidRPr="00ED417D" w:rsidRDefault="008F084B">
      <w:pPr>
        <w:rPr>
          <w:rFonts w:ascii="Times New Roman" w:hAnsi="Times New Roman" w:cs="Times New Roman"/>
          <w:color w:val="FF0000"/>
          <w:sz w:val="24"/>
          <w:szCs w:val="24"/>
        </w:rPr>
        <w:sectPr w:rsidR="008F084B" w:rsidRPr="00ED417D" w:rsidSect="00C0080A">
          <w:footerReference w:type="default" r:id="rId9"/>
          <w:pgSz w:w="11906" w:h="16838"/>
          <w:pgMar w:top="1417" w:right="1417" w:bottom="1417" w:left="1417" w:header="708" w:footer="708" w:gutter="0"/>
          <w:cols w:space="708"/>
          <w:docGrid w:linePitch="360"/>
        </w:sectPr>
      </w:pPr>
    </w:p>
    <w:p w14:paraId="13BE1539" w14:textId="77777777" w:rsidR="008F084B" w:rsidRPr="00A364D6" w:rsidRDefault="008F084B" w:rsidP="00A364D6">
      <w:pPr>
        <w:pStyle w:val="Akapitzlist"/>
        <w:numPr>
          <w:ilvl w:val="6"/>
          <w:numId w:val="1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6632"/>
          <w:tab w:val="num" w:pos="3621"/>
        </w:tabs>
        <w:spacing w:after="0" w:line="240" w:lineRule="auto"/>
        <w:ind w:left="426" w:hanging="426"/>
        <w:jc w:val="both"/>
        <w:rPr>
          <w:rFonts w:ascii="Times New Roman" w:hAnsi="Times New Roman" w:cs="Times New Roman"/>
          <w:b/>
          <w:sz w:val="24"/>
          <w:szCs w:val="24"/>
        </w:rPr>
      </w:pPr>
      <w:r w:rsidRPr="00A364D6">
        <w:rPr>
          <w:rFonts w:ascii="Times New Roman" w:hAnsi="Times New Roman" w:cs="Times New Roman"/>
          <w:b/>
          <w:sz w:val="24"/>
          <w:szCs w:val="24"/>
        </w:rPr>
        <w:lastRenderedPageBreak/>
        <w:t>Jakość kredytowa ekspozycji restrukturyzowanych</w:t>
      </w:r>
    </w:p>
    <w:tbl>
      <w:tblPr>
        <w:tblStyle w:val="Tabela-Siatka"/>
        <w:tblpPr w:leftFromText="141" w:rightFromText="141" w:vertAnchor="text" w:horzAnchor="page" w:tblpX="781" w:tblpY="408"/>
        <w:tblW w:w="15637" w:type="dxa"/>
        <w:tblLook w:val="04A0" w:firstRow="1" w:lastRow="0" w:firstColumn="1" w:lastColumn="0" w:noHBand="0" w:noVBand="1"/>
      </w:tblPr>
      <w:tblGrid>
        <w:gridCol w:w="419"/>
        <w:gridCol w:w="1607"/>
        <w:gridCol w:w="1596"/>
        <w:gridCol w:w="1603"/>
        <w:gridCol w:w="976"/>
        <w:gridCol w:w="1435"/>
        <w:gridCol w:w="1178"/>
        <w:gridCol w:w="8"/>
        <w:gridCol w:w="19"/>
        <w:gridCol w:w="1800"/>
        <w:gridCol w:w="68"/>
        <w:gridCol w:w="1765"/>
        <w:gridCol w:w="1006"/>
        <w:gridCol w:w="2157"/>
      </w:tblGrid>
      <w:tr w:rsidR="00A364D6" w:rsidRPr="00A364D6" w14:paraId="75E3C106" w14:textId="77777777" w:rsidTr="003179F4">
        <w:trPr>
          <w:trHeight w:val="70"/>
        </w:trPr>
        <w:tc>
          <w:tcPr>
            <w:tcW w:w="2026" w:type="dxa"/>
            <w:gridSpan w:val="2"/>
            <w:tcBorders>
              <w:top w:val="nil"/>
              <w:left w:val="nil"/>
              <w:bottom w:val="nil"/>
            </w:tcBorders>
          </w:tcPr>
          <w:p w14:paraId="7E40D583" w14:textId="77777777" w:rsidR="008F084B" w:rsidRPr="00A364D6" w:rsidRDefault="008F084B" w:rsidP="008F084B">
            <w:pPr>
              <w:jc w:val="both"/>
              <w:rPr>
                <w:rFonts w:ascii="Times New Roman" w:hAnsi="Times New Roman" w:cs="Times New Roman"/>
                <w:sz w:val="18"/>
                <w:szCs w:val="20"/>
              </w:rPr>
            </w:pPr>
          </w:p>
        </w:tc>
        <w:tc>
          <w:tcPr>
            <w:tcW w:w="1596" w:type="dxa"/>
          </w:tcPr>
          <w:p w14:paraId="184C106F" w14:textId="77777777" w:rsidR="008F084B" w:rsidRPr="00A364D6" w:rsidRDefault="008F084B" w:rsidP="008F084B">
            <w:pPr>
              <w:jc w:val="center"/>
              <w:rPr>
                <w:rFonts w:ascii="Times New Roman" w:hAnsi="Times New Roman" w:cs="Times New Roman"/>
                <w:sz w:val="18"/>
                <w:szCs w:val="20"/>
              </w:rPr>
            </w:pPr>
          </w:p>
        </w:tc>
        <w:tc>
          <w:tcPr>
            <w:tcW w:w="1603" w:type="dxa"/>
          </w:tcPr>
          <w:p w14:paraId="391F1FF5"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a</w:t>
            </w:r>
          </w:p>
        </w:tc>
        <w:tc>
          <w:tcPr>
            <w:tcW w:w="976" w:type="dxa"/>
          </w:tcPr>
          <w:p w14:paraId="7A19C53B"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b</w:t>
            </w:r>
          </w:p>
        </w:tc>
        <w:tc>
          <w:tcPr>
            <w:tcW w:w="1435" w:type="dxa"/>
          </w:tcPr>
          <w:p w14:paraId="49B0505C"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C</w:t>
            </w:r>
          </w:p>
        </w:tc>
        <w:tc>
          <w:tcPr>
            <w:tcW w:w="1205" w:type="dxa"/>
            <w:gridSpan w:val="3"/>
          </w:tcPr>
          <w:p w14:paraId="0C07B0DE"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d</w:t>
            </w:r>
          </w:p>
        </w:tc>
        <w:tc>
          <w:tcPr>
            <w:tcW w:w="1800" w:type="dxa"/>
          </w:tcPr>
          <w:p w14:paraId="1E18E727"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e</w:t>
            </w:r>
          </w:p>
        </w:tc>
        <w:tc>
          <w:tcPr>
            <w:tcW w:w="1833" w:type="dxa"/>
            <w:gridSpan w:val="2"/>
          </w:tcPr>
          <w:p w14:paraId="3C6886FB"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f</w:t>
            </w:r>
          </w:p>
        </w:tc>
        <w:tc>
          <w:tcPr>
            <w:tcW w:w="1006" w:type="dxa"/>
          </w:tcPr>
          <w:p w14:paraId="110F0D6C"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g</w:t>
            </w:r>
          </w:p>
        </w:tc>
        <w:tc>
          <w:tcPr>
            <w:tcW w:w="2157" w:type="dxa"/>
          </w:tcPr>
          <w:p w14:paraId="0982B198"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h</w:t>
            </w:r>
          </w:p>
        </w:tc>
      </w:tr>
      <w:tr w:rsidR="00A364D6" w:rsidRPr="00A364D6" w14:paraId="15363241" w14:textId="77777777" w:rsidTr="00BE3FC8">
        <w:tc>
          <w:tcPr>
            <w:tcW w:w="2026" w:type="dxa"/>
            <w:gridSpan w:val="2"/>
            <w:vMerge w:val="restart"/>
            <w:tcBorders>
              <w:top w:val="nil"/>
              <w:left w:val="nil"/>
            </w:tcBorders>
          </w:tcPr>
          <w:p w14:paraId="3D70F4D9" w14:textId="77777777" w:rsidR="008F084B" w:rsidRPr="00A364D6" w:rsidRDefault="008F084B" w:rsidP="008F084B">
            <w:pPr>
              <w:jc w:val="both"/>
              <w:rPr>
                <w:rFonts w:ascii="Times New Roman" w:hAnsi="Times New Roman" w:cs="Times New Roman"/>
                <w:sz w:val="18"/>
                <w:szCs w:val="20"/>
              </w:rPr>
            </w:pPr>
          </w:p>
        </w:tc>
        <w:tc>
          <w:tcPr>
            <w:tcW w:w="1596" w:type="dxa"/>
          </w:tcPr>
          <w:p w14:paraId="316DF170" w14:textId="77777777" w:rsidR="008F084B" w:rsidRPr="00A364D6" w:rsidRDefault="008F084B" w:rsidP="008F084B">
            <w:pPr>
              <w:jc w:val="center"/>
              <w:rPr>
                <w:rFonts w:ascii="Times New Roman" w:hAnsi="Times New Roman" w:cs="Times New Roman"/>
                <w:sz w:val="18"/>
                <w:szCs w:val="20"/>
              </w:rPr>
            </w:pPr>
          </w:p>
        </w:tc>
        <w:tc>
          <w:tcPr>
            <w:tcW w:w="5200" w:type="dxa"/>
            <w:gridSpan w:val="5"/>
          </w:tcPr>
          <w:p w14:paraId="61D42FE6"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 xml:space="preserve">Wartość bilansowa brutto </w:t>
            </w:r>
            <w:r w:rsidRPr="00A364D6">
              <w:rPr>
                <w:rFonts w:ascii="Times New Roman" w:hAnsi="Times New Roman" w:cs="Times New Roman"/>
                <w:i/>
                <w:sz w:val="18"/>
                <w:szCs w:val="20"/>
              </w:rPr>
              <w:t xml:space="preserve">(w przypadku ekspozycji w bilansie) </w:t>
            </w:r>
            <w:r w:rsidRPr="00A364D6">
              <w:rPr>
                <w:rFonts w:ascii="Times New Roman" w:hAnsi="Times New Roman" w:cs="Times New Roman"/>
                <w:sz w:val="18"/>
                <w:szCs w:val="20"/>
              </w:rPr>
              <w:t xml:space="preserve">/kwota nominalna ekspozycji </w:t>
            </w:r>
            <w:r w:rsidRPr="00A364D6">
              <w:rPr>
                <w:rFonts w:ascii="Times New Roman" w:hAnsi="Times New Roman" w:cs="Times New Roman"/>
                <w:i/>
                <w:sz w:val="18"/>
                <w:szCs w:val="20"/>
              </w:rPr>
              <w:t>(w przypadku ekspozycji pozabilansowych)</w:t>
            </w:r>
          </w:p>
        </w:tc>
        <w:tc>
          <w:tcPr>
            <w:tcW w:w="3652" w:type="dxa"/>
            <w:gridSpan w:val="4"/>
          </w:tcPr>
          <w:p w14:paraId="243E7F12"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Skumulowana utrata wartości, skumulowane ujemne zmiany wartości godziwej z tytułu ryzyka kredytowego i rezerw</w:t>
            </w:r>
          </w:p>
        </w:tc>
        <w:tc>
          <w:tcPr>
            <w:tcW w:w="3163" w:type="dxa"/>
            <w:gridSpan w:val="2"/>
          </w:tcPr>
          <w:p w14:paraId="0C9D9A54"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 xml:space="preserve">Zabezpieczenia rzeczowe lub gwarancje finansowe otrzymane </w:t>
            </w:r>
          </w:p>
        </w:tc>
      </w:tr>
      <w:tr w:rsidR="00A364D6" w:rsidRPr="00A364D6" w14:paraId="280499E6" w14:textId="77777777" w:rsidTr="00BE3FC8">
        <w:tc>
          <w:tcPr>
            <w:tcW w:w="2026" w:type="dxa"/>
            <w:gridSpan w:val="2"/>
            <w:vMerge/>
            <w:tcBorders>
              <w:left w:val="nil"/>
            </w:tcBorders>
          </w:tcPr>
          <w:p w14:paraId="5B32A1C2" w14:textId="77777777" w:rsidR="008F084B" w:rsidRPr="00A364D6" w:rsidRDefault="008F084B" w:rsidP="008F084B">
            <w:pPr>
              <w:jc w:val="both"/>
              <w:rPr>
                <w:rFonts w:ascii="Times New Roman" w:hAnsi="Times New Roman" w:cs="Times New Roman"/>
                <w:sz w:val="18"/>
                <w:szCs w:val="20"/>
              </w:rPr>
            </w:pPr>
          </w:p>
        </w:tc>
        <w:tc>
          <w:tcPr>
            <w:tcW w:w="1596" w:type="dxa"/>
          </w:tcPr>
          <w:p w14:paraId="40746785" w14:textId="77777777" w:rsidR="008F084B" w:rsidRPr="00A364D6" w:rsidRDefault="008F084B" w:rsidP="008F084B">
            <w:pPr>
              <w:jc w:val="center"/>
              <w:rPr>
                <w:rFonts w:ascii="Times New Roman" w:hAnsi="Times New Roman" w:cs="Times New Roman"/>
                <w:sz w:val="18"/>
                <w:szCs w:val="20"/>
              </w:rPr>
            </w:pPr>
          </w:p>
        </w:tc>
        <w:tc>
          <w:tcPr>
            <w:tcW w:w="1603" w:type="dxa"/>
            <w:vMerge w:val="restart"/>
          </w:tcPr>
          <w:p w14:paraId="4CB41D33"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Obsługiwane ekspozycje restrukturyzowane</w:t>
            </w:r>
          </w:p>
        </w:tc>
        <w:tc>
          <w:tcPr>
            <w:tcW w:w="3589" w:type="dxa"/>
            <w:gridSpan w:val="3"/>
          </w:tcPr>
          <w:p w14:paraId="34D11D19"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Nieobsługiwane ekspozycje restrukturyzowane</w:t>
            </w:r>
          </w:p>
        </w:tc>
        <w:tc>
          <w:tcPr>
            <w:tcW w:w="1895" w:type="dxa"/>
            <w:gridSpan w:val="4"/>
            <w:vMerge w:val="restart"/>
          </w:tcPr>
          <w:p w14:paraId="55560D51"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Obsługiwanych ekspozycji restrukturyzowanych</w:t>
            </w:r>
          </w:p>
        </w:tc>
        <w:tc>
          <w:tcPr>
            <w:tcW w:w="1765" w:type="dxa"/>
            <w:vMerge w:val="restart"/>
          </w:tcPr>
          <w:p w14:paraId="6149AFF8"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Nieobsługiwanych ekspozycji restrukturyzowanych</w:t>
            </w:r>
          </w:p>
        </w:tc>
        <w:tc>
          <w:tcPr>
            <w:tcW w:w="1006" w:type="dxa"/>
            <w:vMerge w:val="restart"/>
          </w:tcPr>
          <w:p w14:paraId="62F0AB3D" w14:textId="77777777" w:rsidR="008F084B" w:rsidRPr="00A364D6" w:rsidRDefault="008F084B" w:rsidP="008F084B">
            <w:pPr>
              <w:jc w:val="center"/>
              <w:rPr>
                <w:rFonts w:ascii="Times New Roman" w:hAnsi="Times New Roman" w:cs="Times New Roman"/>
                <w:sz w:val="18"/>
                <w:szCs w:val="20"/>
              </w:rPr>
            </w:pPr>
          </w:p>
        </w:tc>
        <w:tc>
          <w:tcPr>
            <w:tcW w:w="2157" w:type="dxa"/>
            <w:vMerge w:val="restart"/>
          </w:tcPr>
          <w:p w14:paraId="45E61D73"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W tym zabezpieczenie i gwarancje finansowe otrzymane z powodu nieobsługiwanych ekspozycji, wobec których zastosowano środki restrukturyzacyjne</w:t>
            </w:r>
          </w:p>
        </w:tc>
      </w:tr>
      <w:tr w:rsidR="00A364D6" w:rsidRPr="00A364D6" w14:paraId="04668420" w14:textId="77777777" w:rsidTr="00BE3FC8">
        <w:tc>
          <w:tcPr>
            <w:tcW w:w="2026" w:type="dxa"/>
            <w:gridSpan w:val="2"/>
            <w:vMerge/>
            <w:tcBorders>
              <w:left w:val="nil"/>
            </w:tcBorders>
          </w:tcPr>
          <w:p w14:paraId="5390CD38" w14:textId="77777777" w:rsidR="008F084B" w:rsidRPr="00A364D6" w:rsidRDefault="008F084B" w:rsidP="008F084B">
            <w:pPr>
              <w:jc w:val="both"/>
              <w:rPr>
                <w:rFonts w:ascii="Times New Roman" w:hAnsi="Times New Roman" w:cs="Times New Roman"/>
                <w:sz w:val="20"/>
                <w:szCs w:val="20"/>
              </w:rPr>
            </w:pPr>
          </w:p>
        </w:tc>
        <w:tc>
          <w:tcPr>
            <w:tcW w:w="1596" w:type="dxa"/>
          </w:tcPr>
          <w:p w14:paraId="751DADD0" w14:textId="77777777" w:rsidR="008F084B" w:rsidRPr="00A364D6" w:rsidRDefault="008F084B" w:rsidP="008F084B">
            <w:pPr>
              <w:jc w:val="both"/>
              <w:rPr>
                <w:rFonts w:ascii="Times New Roman" w:hAnsi="Times New Roman" w:cs="Times New Roman"/>
                <w:sz w:val="20"/>
                <w:szCs w:val="20"/>
              </w:rPr>
            </w:pPr>
          </w:p>
        </w:tc>
        <w:tc>
          <w:tcPr>
            <w:tcW w:w="1603" w:type="dxa"/>
            <w:vMerge/>
          </w:tcPr>
          <w:p w14:paraId="0EA207EA" w14:textId="77777777" w:rsidR="008F084B" w:rsidRPr="00A364D6" w:rsidRDefault="008F084B" w:rsidP="008F084B">
            <w:pPr>
              <w:jc w:val="both"/>
              <w:rPr>
                <w:rFonts w:ascii="Times New Roman" w:hAnsi="Times New Roman" w:cs="Times New Roman"/>
                <w:sz w:val="20"/>
                <w:szCs w:val="20"/>
              </w:rPr>
            </w:pPr>
          </w:p>
        </w:tc>
        <w:tc>
          <w:tcPr>
            <w:tcW w:w="976" w:type="dxa"/>
            <w:tcBorders>
              <w:top w:val="nil"/>
              <w:right w:val="single" w:sz="4" w:space="0" w:color="auto"/>
            </w:tcBorders>
          </w:tcPr>
          <w:p w14:paraId="79165F84" w14:textId="77777777" w:rsidR="008F084B" w:rsidRPr="00A364D6" w:rsidRDefault="008F084B" w:rsidP="008F084B">
            <w:pPr>
              <w:jc w:val="center"/>
              <w:rPr>
                <w:rFonts w:ascii="Times New Roman" w:hAnsi="Times New Roman" w:cs="Times New Roman"/>
                <w:sz w:val="20"/>
                <w:szCs w:val="20"/>
              </w:rPr>
            </w:pPr>
          </w:p>
        </w:tc>
        <w:tc>
          <w:tcPr>
            <w:tcW w:w="1435" w:type="dxa"/>
            <w:tcBorders>
              <w:left w:val="single" w:sz="4" w:space="0" w:color="auto"/>
              <w:bottom w:val="single" w:sz="4" w:space="0" w:color="auto"/>
            </w:tcBorders>
          </w:tcPr>
          <w:p w14:paraId="6A5B3E0A"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W tym ekspozycje, których dotyczy niewykonanie zobowiązania</w:t>
            </w:r>
          </w:p>
        </w:tc>
        <w:tc>
          <w:tcPr>
            <w:tcW w:w="1178" w:type="dxa"/>
          </w:tcPr>
          <w:p w14:paraId="496805D6" w14:textId="77777777" w:rsidR="008F084B" w:rsidRPr="00A364D6" w:rsidRDefault="008F084B" w:rsidP="008F084B">
            <w:pPr>
              <w:jc w:val="center"/>
              <w:rPr>
                <w:rFonts w:ascii="Times New Roman" w:hAnsi="Times New Roman" w:cs="Times New Roman"/>
                <w:sz w:val="18"/>
                <w:szCs w:val="20"/>
              </w:rPr>
            </w:pPr>
            <w:r w:rsidRPr="00A364D6">
              <w:rPr>
                <w:rFonts w:ascii="Times New Roman" w:hAnsi="Times New Roman" w:cs="Times New Roman"/>
                <w:sz w:val="18"/>
                <w:szCs w:val="20"/>
              </w:rPr>
              <w:t>W tym ekspozycje dotknięte utratą wartości</w:t>
            </w:r>
          </w:p>
        </w:tc>
        <w:tc>
          <w:tcPr>
            <w:tcW w:w="1895" w:type="dxa"/>
            <w:gridSpan w:val="4"/>
            <w:vMerge/>
          </w:tcPr>
          <w:p w14:paraId="36B4B46A" w14:textId="77777777" w:rsidR="008F084B" w:rsidRPr="00A364D6" w:rsidRDefault="008F084B" w:rsidP="008F084B">
            <w:pPr>
              <w:jc w:val="both"/>
              <w:rPr>
                <w:rFonts w:ascii="Times New Roman" w:hAnsi="Times New Roman" w:cs="Times New Roman"/>
                <w:sz w:val="20"/>
                <w:szCs w:val="20"/>
              </w:rPr>
            </w:pPr>
          </w:p>
        </w:tc>
        <w:tc>
          <w:tcPr>
            <w:tcW w:w="1765" w:type="dxa"/>
            <w:vMerge/>
          </w:tcPr>
          <w:p w14:paraId="4D7A1FE6" w14:textId="77777777" w:rsidR="008F084B" w:rsidRPr="00A364D6" w:rsidRDefault="008F084B" w:rsidP="008F084B">
            <w:pPr>
              <w:jc w:val="both"/>
              <w:rPr>
                <w:rFonts w:ascii="Times New Roman" w:hAnsi="Times New Roman" w:cs="Times New Roman"/>
                <w:sz w:val="20"/>
                <w:szCs w:val="20"/>
              </w:rPr>
            </w:pPr>
          </w:p>
        </w:tc>
        <w:tc>
          <w:tcPr>
            <w:tcW w:w="1006" w:type="dxa"/>
            <w:vMerge/>
          </w:tcPr>
          <w:p w14:paraId="612688C7" w14:textId="77777777" w:rsidR="008F084B" w:rsidRPr="00A364D6" w:rsidRDefault="008F084B" w:rsidP="008F084B">
            <w:pPr>
              <w:jc w:val="both"/>
              <w:rPr>
                <w:rFonts w:ascii="Times New Roman" w:hAnsi="Times New Roman" w:cs="Times New Roman"/>
                <w:sz w:val="20"/>
                <w:szCs w:val="20"/>
              </w:rPr>
            </w:pPr>
          </w:p>
        </w:tc>
        <w:tc>
          <w:tcPr>
            <w:tcW w:w="2157" w:type="dxa"/>
            <w:vMerge/>
            <w:tcBorders>
              <w:bottom w:val="single" w:sz="4" w:space="0" w:color="auto"/>
            </w:tcBorders>
          </w:tcPr>
          <w:p w14:paraId="1E5A2C69" w14:textId="77777777" w:rsidR="008F084B" w:rsidRPr="00A364D6" w:rsidRDefault="008F084B" w:rsidP="008F084B">
            <w:pPr>
              <w:jc w:val="both"/>
              <w:rPr>
                <w:rFonts w:ascii="Times New Roman" w:hAnsi="Times New Roman" w:cs="Times New Roman"/>
                <w:sz w:val="20"/>
                <w:szCs w:val="20"/>
              </w:rPr>
            </w:pPr>
          </w:p>
        </w:tc>
      </w:tr>
      <w:tr w:rsidR="00A364D6" w:rsidRPr="00A364D6" w14:paraId="524FC056" w14:textId="77777777" w:rsidTr="00BE3FC8">
        <w:tc>
          <w:tcPr>
            <w:tcW w:w="419" w:type="dxa"/>
            <w:vAlign w:val="center"/>
          </w:tcPr>
          <w:p w14:paraId="6BE77A24"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1</w:t>
            </w:r>
          </w:p>
        </w:tc>
        <w:tc>
          <w:tcPr>
            <w:tcW w:w="1607" w:type="dxa"/>
          </w:tcPr>
          <w:p w14:paraId="2A45B1F6" w14:textId="77777777" w:rsidR="00BE3FC8" w:rsidRPr="00A364D6" w:rsidRDefault="00BE3FC8" w:rsidP="00BE3FC8">
            <w:pPr>
              <w:rPr>
                <w:rFonts w:ascii="Times New Roman" w:hAnsi="Times New Roman" w:cs="Times New Roman"/>
                <w:b/>
                <w:sz w:val="20"/>
                <w:szCs w:val="20"/>
              </w:rPr>
            </w:pPr>
            <w:r w:rsidRPr="00A364D6">
              <w:rPr>
                <w:rFonts w:ascii="Times New Roman" w:hAnsi="Times New Roman" w:cs="Times New Roman"/>
                <w:b/>
                <w:sz w:val="20"/>
                <w:szCs w:val="20"/>
              </w:rPr>
              <w:t>Kredyty i zaliczki</w:t>
            </w:r>
          </w:p>
        </w:tc>
        <w:tc>
          <w:tcPr>
            <w:tcW w:w="1596" w:type="dxa"/>
          </w:tcPr>
          <w:p w14:paraId="4EC90002" w14:textId="54C031EE" w:rsidR="00BE3FC8" w:rsidRPr="00A364D6" w:rsidRDefault="003179F4" w:rsidP="00BE3FC8">
            <w:pPr>
              <w:jc w:val="right"/>
              <w:rPr>
                <w:rFonts w:ascii="Times New Roman" w:hAnsi="Times New Roman" w:cs="Times New Roman"/>
                <w:sz w:val="20"/>
                <w:szCs w:val="20"/>
              </w:rPr>
            </w:pPr>
            <w:r w:rsidRPr="00A364D6">
              <w:rPr>
                <w:rFonts w:ascii="Times New Roman" w:hAnsi="Times New Roman" w:cs="Times New Roman"/>
                <w:sz w:val="20"/>
                <w:szCs w:val="20"/>
              </w:rPr>
              <w:t>0</w:t>
            </w:r>
            <w:r w:rsidR="00BE3FC8" w:rsidRPr="00A364D6">
              <w:rPr>
                <w:rFonts w:ascii="Times New Roman" w:hAnsi="Times New Roman" w:cs="Times New Roman"/>
                <w:sz w:val="20"/>
                <w:szCs w:val="20"/>
              </w:rPr>
              <w:t>,</w:t>
            </w:r>
            <w:r w:rsidRPr="00A364D6">
              <w:rPr>
                <w:rFonts w:ascii="Times New Roman" w:hAnsi="Times New Roman" w:cs="Times New Roman"/>
                <w:sz w:val="20"/>
                <w:szCs w:val="20"/>
              </w:rPr>
              <w:t>00</w:t>
            </w:r>
          </w:p>
        </w:tc>
        <w:tc>
          <w:tcPr>
            <w:tcW w:w="1603" w:type="dxa"/>
          </w:tcPr>
          <w:p w14:paraId="10123E2C" w14:textId="4613823B"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26E7D19D" w14:textId="3363AF69"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26612D48" w14:textId="1E2133CC" w:rsidR="00BE3FC8" w:rsidRPr="00A364D6" w:rsidRDefault="003179F4" w:rsidP="00BE3FC8">
            <w:pPr>
              <w:jc w:val="right"/>
              <w:rPr>
                <w:rFonts w:ascii="Times New Roman" w:hAnsi="Times New Roman" w:cs="Times New Roman"/>
                <w:sz w:val="20"/>
                <w:szCs w:val="20"/>
              </w:rPr>
            </w:pPr>
            <w:r w:rsidRPr="00A364D6">
              <w:rPr>
                <w:rFonts w:ascii="Times New Roman" w:hAnsi="Times New Roman" w:cs="Times New Roman"/>
                <w:sz w:val="20"/>
                <w:szCs w:val="20"/>
              </w:rPr>
              <w:t>0</w:t>
            </w:r>
            <w:r w:rsidR="00BE3FC8" w:rsidRPr="00A364D6">
              <w:rPr>
                <w:rFonts w:ascii="Times New Roman" w:hAnsi="Times New Roman" w:cs="Times New Roman"/>
                <w:sz w:val="20"/>
                <w:szCs w:val="20"/>
              </w:rPr>
              <w:t>,</w:t>
            </w:r>
            <w:r w:rsidRPr="00A364D6">
              <w:rPr>
                <w:rFonts w:ascii="Times New Roman" w:hAnsi="Times New Roman" w:cs="Times New Roman"/>
                <w:sz w:val="20"/>
                <w:szCs w:val="20"/>
              </w:rPr>
              <w:t>00</w:t>
            </w:r>
          </w:p>
        </w:tc>
        <w:tc>
          <w:tcPr>
            <w:tcW w:w="1178" w:type="dxa"/>
          </w:tcPr>
          <w:p w14:paraId="7912F44D" w14:textId="6C1C352A" w:rsidR="00BE3FC8" w:rsidRPr="00A364D6" w:rsidRDefault="003179F4" w:rsidP="00BE3FC8">
            <w:pPr>
              <w:jc w:val="right"/>
              <w:rPr>
                <w:rFonts w:ascii="Times New Roman" w:hAnsi="Times New Roman" w:cs="Times New Roman"/>
                <w:sz w:val="20"/>
                <w:szCs w:val="20"/>
              </w:rPr>
            </w:pPr>
            <w:r w:rsidRPr="00A364D6">
              <w:rPr>
                <w:rFonts w:ascii="Times New Roman" w:hAnsi="Times New Roman" w:cs="Times New Roman"/>
                <w:sz w:val="20"/>
                <w:szCs w:val="20"/>
              </w:rPr>
              <w:t>0</w:t>
            </w:r>
            <w:r w:rsidR="00BE3FC8" w:rsidRPr="00A364D6">
              <w:rPr>
                <w:rFonts w:ascii="Times New Roman" w:hAnsi="Times New Roman" w:cs="Times New Roman"/>
                <w:sz w:val="20"/>
                <w:szCs w:val="20"/>
              </w:rPr>
              <w:t>,</w:t>
            </w:r>
            <w:r w:rsidRPr="00A364D6">
              <w:rPr>
                <w:rFonts w:ascii="Times New Roman" w:hAnsi="Times New Roman" w:cs="Times New Roman"/>
                <w:sz w:val="20"/>
                <w:szCs w:val="20"/>
              </w:rPr>
              <w:t>00</w:t>
            </w:r>
          </w:p>
        </w:tc>
        <w:tc>
          <w:tcPr>
            <w:tcW w:w="1895" w:type="dxa"/>
            <w:gridSpan w:val="4"/>
          </w:tcPr>
          <w:p w14:paraId="6733234F" w14:textId="36C9D70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2FDE78EC" w14:textId="784C39D4"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04D1CCCE" w14:textId="1F5382FD"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7FAAB0DB" w14:textId="61D4D8E2"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57060602" w14:textId="77777777" w:rsidTr="00BE3FC8">
        <w:tc>
          <w:tcPr>
            <w:tcW w:w="419" w:type="dxa"/>
            <w:vAlign w:val="center"/>
          </w:tcPr>
          <w:p w14:paraId="589289F8"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2</w:t>
            </w:r>
          </w:p>
        </w:tc>
        <w:tc>
          <w:tcPr>
            <w:tcW w:w="1607" w:type="dxa"/>
          </w:tcPr>
          <w:p w14:paraId="08C3CA0F" w14:textId="77777777" w:rsidR="00BE3FC8" w:rsidRPr="00A364D6" w:rsidRDefault="00BE3FC8" w:rsidP="00BE3FC8">
            <w:pPr>
              <w:rPr>
                <w:rFonts w:ascii="Times New Roman" w:hAnsi="Times New Roman" w:cs="Times New Roman"/>
                <w:sz w:val="20"/>
                <w:szCs w:val="20"/>
              </w:rPr>
            </w:pPr>
            <w:r w:rsidRPr="00A364D6">
              <w:rPr>
                <w:rFonts w:ascii="Times New Roman" w:hAnsi="Times New Roman" w:cs="Times New Roman"/>
                <w:sz w:val="20"/>
                <w:szCs w:val="20"/>
              </w:rPr>
              <w:t>Banki centralne</w:t>
            </w:r>
          </w:p>
        </w:tc>
        <w:tc>
          <w:tcPr>
            <w:tcW w:w="1596" w:type="dxa"/>
          </w:tcPr>
          <w:p w14:paraId="5A2B688E" w14:textId="405779EC"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4E56F7E3" w14:textId="75607F6B"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7970934E" w14:textId="41564214"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6ED0215A" w14:textId="40BE4939"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419C6A03" w14:textId="0319F270"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289BD9B8" w14:textId="157665F1"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7DFC3F82" w14:textId="7A318B51"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511D4BFF" w14:textId="59BA9F2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6BF95385" w14:textId="6779922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7F37FD94" w14:textId="77777777" w:rsidTr="00BE3FC8">
        <w:tc>
          <w:tcPr>
            <w:tcW w:w="419" w:type="dxa"/>
            <w:vAlign w:val="center"/>
          </w:tcPr>
          <w:p w14:paraId="1D215BC3"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3</w:t>
            </w:r>
          </w:p>
        </w:tc>
        <w:tc>
          <w:tcPr>
            <w:tcW w:w="1607" w:type="dxa"/>
          </w:tcPr>
          <w:p w14:paraId="23CA03EF" w14:textId="77777777" w:rsidR="00BE3FC8" w:rsidRPr="00A364D6" w:rsidRDefault="00BE3FC8" w:rsidP="00BE3FC8">
            <w:pPr>
              <w:rPr>
                <w:rFonts w:ascii="Times New Roman" w:hAnsi="Times New Roman" w:cs="Times New Roman"/>
                <w:sz w:val="20"/>
                <w:szCs w:val="20"/>
              </w:rPr>
            </w:pPr>
            <w:r w:rsidRPr="00A364D6">
              <w:rPr>
                <w:rFonts w:ascii="Times New Roman" w:hAnsi="Times New Roman" w:cs="Times New Roman"/>
                <w:sz w:val="20"/>
                <w:szCs w:val="20"/>
              </w:rPr>
              <w:t>Instytucje rządowe</w:t>
            </w:r>
          </w:p>
        </w:tc>
        <w:tc>
          <w:tcPr>
            <w:tcW w:w="1596" w:type="dxa"/>
          </w:tcPr>
          <w:p w14:paraId="1805B53A" w14:textId="7AC01938"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2E063DE6" w14:textId="12051539"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40817380" w14:textId="2531C9B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4138D243" w14:textId="66947786"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3BE7293C" w14:textId="7E1E9C30"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2E25B4EB" w14:textId="775AE4A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779A7834" w14:textId="7503E22A"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7C02651D" w14:textId="3108684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02EDFE0D" w14:textId="2A966CB4"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0C6E324B" w14:textId="77777777" w:rsidTr="00BE3FC8">
        <w:tc>
          <w:tcPr>
            <w:tcW w:w="419" w:type="dxa"/>
            <w:vAlign w:val="center"/>
          </w:tcPr>
          <w:p w14:paraId="22081433"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4</w:t>
            </w:r>
          </w:p>
        </w:tc>
        <w:tc>
          <w:tcPr>
            <w:tcW w:w="1607" w:type="dxa"/>
          </w:tcPr>
          <w:p w14:paraId="2AFBB5A1" w14:textId="77777777" w:rsidR="00BE3FC8" w:rsidRPr="00A364D6" w:rsidRDefault="00BE3FC8" w:rsidP="00BE3FC8">
            <w:pPr>
              <w:rPr>
                <w:rFonts w:ascii="Times New Roman" w:hAnsi="Times New Roman" w:cs="Times New Roman"/>
                <w:sz w:val="20"/>
                <w:szCs w:val="20"/>
              </w:rPr>
            </w:pPr>
            <w:r w:rsidRPr="00A364D6">
              <w:rPr>
                <w:rFonts w:ascii="Times New Roman" w:hAnsi="Times New Roman" w:cs="Times New Roman"/>
                <w:sz w:val="20"/>
                <w:szCs w:val="20"/>
              </w:rPr>
              <w:t>Instytucje kredytowe</w:t>
            </w:r>
          </w:p>
        </w:tc>
        <w:tc>
          <w:tcPr>
            <w:tcW w:w="1596" w:type="dxa"/>
          </w:tcPr>
          <w:p w14:paraId="1573B7CF" w14:textId="75C3B78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135F3D45" w14:textId="680BEE2B"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47BE34F7" w14:textId="021534A6"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6702CAB5" w14:textId="68BA4949"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71277FEE" w14:textId="2B7AD6D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1363C92C" w14:textId="2290C82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76294C43" w14:textId="275B560A"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295F97C8" w14:textId="76007740"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534EADCB" w14:textId="0AEBC63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486AD4D4" w14:textId="77777777" w:rsidTr="00BE3FC8">
        <w:tc>
          <w:tcPr>
            <w:tcW w:w="419" w:type="dxa"/>
            <w:vAlign w:val="center"/>
          </w:tcPr>
          <w:p w14:paraId="7A8C3026"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5</w:t>
            </w:r>
          </w:p>
        </w:tc>
        <w:tc>
          <w:tcPr>
            <w:tcW w:w="1607" w:type="dxa"/>
          </w:tcPr>
          <w:p w14:paraId="6F2017E4" w14:textId="77777777" w:rsidR="00BE3FC8" w:rsidRPr="00A364D6" w:rsidRDefault="00BE3FC8" w:rsidP="00BE3FC8">
            <w:pPr>
              <w:rPr>
                <w:rFonts w:ascii="Times New Roman" w:hAnsi="Times New Roman" w:cs="Times New Roman"/>
                <w:sz w:val="20"/>
                <w:szCs w:val="20"/>
              </w:rPr>
            </w:pPr>
            <w:r w:rsidRPr="00A364D6">
              <w:rPr>
                <w:rFonts w:ascii="Times New Roman" w:hAnsi="Times New Roman" w:cs="Times New Roman"/>
                <w:sz w:val="20"/>
                <w:szCs w:val="20"/>
              </w:rPr>
              <w:t>Inne instytucje finansowe</w:t>
            </w:r>
          </w:p>
        </w:tc>
        <w:tc>
          <w:tcPr>
            <w:tcW w:w="1596" w:type="dxa"/>
          </w:tcPr>
          <w:p w14:paraId="3D4169DC" w14:textId="7065AF8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1186E348" w14:textId="2CBCC5E2"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7ECA0A22" w14:textId="4648729D"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27F3B769" w14:textId="4D9A6E2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4BCFF0C4" w14:textId="32F03B2A"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03545CD5" w14:textId="451A9BD1"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567A11BF" w14:textId="28D8676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2407B956" w14:textId="1104E43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575DE6C4" w14:textId="03B4ECFA"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37577A92" w14:textId="77777777" w:rsidTr="00BE3FC8">
        <w:tc>
          <w:tcPr>
            <w:tcW w:w="419" w:type="dxa"/>
            <w:vAlign w:val="center"/>
          </w:tcPr>
          <w:p w14:paraId="4573AADF"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6</w:t>
            </w:r>
          </w:p>
        </w:tc>
        <w:tc>
          <w:tcPr>
            <w:tcW w:w="1607" w:type="dxa"/>
          </w:tcPr>
          <w:p w14:paraId="016F0F66" w14:textId="77777777" w:rsidR="00BE3FC8" w:rsidRPr="00A364D6" w:rsidRDefault="00BE3FC8" w:rsidP="00BE3FC8">
            <w:pPr>
              <w:rPr>
                <w:rFonts w:ascii="Times New Roman" w:hAnsi="Times New Roman" w:cs="Times New Roman"/>
                <w:sz w:val="20"/>
                <w:szCs w:val="20"/>
              </w:rPr>
            </w:pPr>
            <w:r w:rsidRPr="00A364D6">
              <w:rPr>
                <w:rFonts w:ascii="Times New Roman" w:hAnsi="Times New Roman" w:cs="Times New Roman"/>
                <w:sz w:val="20"/>
                <w:szCs w:val="20"/>
              </w:rPr>
              <w:t>Przedsiębiorstwa niefinansowe</w:t>
            </w:r>
          </w:p>
        </w:tc>
        <w:tc>
          <w:tcPr>
            <w:tcW w:w="1596" w:type="dxa"/>
          </w:tcPr>
          <w:p w14:paraId="1CAE5C20" w14:textId="19C9091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68110793" w14:textId="610035E8"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705C7079" w14:textId="7C93B13D" w:rsidR="00BE3FC8" w:rsidRPr="00A364D6" w:rsidRDefault="00A364D6" w:rsidP="00BE3FC8">
            <w:pPr>
              <w:jc w:val="right"/>
              <w:rPr>
                <w:rFonts w:ascii="Times New Roman" w:hAnsi="Times New Roman" w:cs="Times New Roman"/>
                <w:sz w:val="20"/>
                <w:szCs w:val="20"/>
              </w:rPr>
            </w:pPr>
            <w:r w:rsidRPr="00A364D6">
              <w:rPr>
                <w:rFonts w:ascii="Times New Roman" w:hAnsi="Times New Roman" w:cs="Times New Roman"/>
                <w:sz w:val="20"/>
                <w:szCs w:val="20"/>
              </w:rPr>
              <w:t>29,88</w:t>
            </w:r>
          </w:p>
        </w:tc>
        <w:tc>
          <w:tcPr>
            <w:tcW w:w="1435" w:type="dxa"/>
            <w:shd w:val="clear" w:color="auto" w:fill="A6A6A6" w:themeFill="background1" w:themeFillShade="A6"/>
          </w:tcPr>
          <w:p w14:paraId="2553C0DA" w14:textId="0089371F" w:rsidR="00BE3FC8" w:rsidRPr="00A364D6" w:rsidRDefault="003179F4"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191A3E71" w14:textId="476AB6E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1EDA4753" w14:textId="28CE09BD"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36EEFF90" w14:textId="0358728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09CF0AF0" w14:textId="732F56DC"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66E34192" w14:textId="7A2430FD"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57D5269F" w14:textId="77777777" w:rsidTr="00BE3FC8">
        <w:tc>
          <w:tcPr>
            <w:tcW w:w="419" w:type="dxa"/>
            <w:vAlign w:val="center"/>
          </w:tcPr>
          <w:p w14:paraId="32060889" w14:textId="77777777" w:rsidR="008F084B" w:rsidRPr="00A364D6" w:rsidRDefault="008F084B" w:rsidP="008F084B">
            <w:pPr>
              <w:jc w:val="center"/>
              <w:rPr>
                <w:rFonts w:ascii="Times New Roman" w:hAnsi="Times New Roman" w:cs="Times New Roman"/>
                <w:sz w:val="20"/>
                <w:szCs w:val="20"/>
              </w:rPr>
            </w:pPr>
            <w:r w:rsidRPr="00A364D6">
              <w:rPr>
                <w:rFonts w:ascii="Times New Roman" w:hAnsi="Times New Roman" w:cs="Times New Roman"/>
                <w:sz w:val="20"/>
                <w:szCs w:val="20"/>
              </w:rPr>
              <w:t>7</w:t>
            </w:r>
          </w:p>
        </w:tc>
        <w:tc>
          <w:tcPr>
            <w:tcW w:w="1607" w:type="dxa"/>
          </w:tcPr>
          <w:p w14:paraId="2C822CEA" w14:textId="77777777" w:rsidR="008F084B" w:rsidRPr="00A364D6" w:rsidRDefault="008F084B" w:rsidP="008F084B">
            <w:pPr>
              <w:rPr>
                <w:rFonts w:ascii="Times New Roman" w:hAnsi="Times New Roman" w:cs="Times New Roman"/>
                <w:sz w:val="20"/>
                <w:szCs w:val="20"/>
              </w:rPr>
            </w:pPr>
            <w:r w:rsidRPr="00A364D6">
              <w:rPr>
                <w:rFonts w:ascii="Times New Roman" w:hAnsi="Times New Roman" w:cs="Times New Roman"/>
                <w:sz w:val="20"/>
                <w:szCs w:val="20"/>
              </w:rPr>
              <w:t>Gospodarstwa domowe</w:t>
            </w:r>
          </w:p>
        </w:tc>
        <w:tc>
          <w:tcPr>
            <w:tcW w:w="1596" w:type="dxa"/>
          </w:tcPr>
          <w:p w14:paraId="1901C8E1" w14:textId="506E7013"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7484183B" w14:textId="6020F812"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0AA28DFE" w14:textId="3616EDA5" w:rsidR="008F084B" w:rsidRPr="00A364D6" w:rsidRDefault="003179F4" w:rsidP="00645853">
            <w:pPr>
              <w:jc w:val="right"/>
              <w:rPr>
                <w:rFonts w:ascii="Times New Roman" w:hAnsi="Times New Roman" w:cs="Times New Roman"/>
                <w:sz w:val="20"/>
                <w:szCs w:val="20"/>
              </w:rPr>
            </w:pPr>
            <w:r w:rsidRPr="00A364D6">
              <w:rPr>
                <w:rFonts w:ascii="Times New Roman" w:hAnsi="Times New Roman" w:cs="Times New Roman"/>
                <w:sz w:val="20"/>
                <w:szCs w:val="20"/>
              </w:rPr>
              <w:t>6</w:t>
            </w:r>
            <w:r w:rsidR="00A364D6" w:rsidRPr="00A364D6">
              <w:rPr>
                <w:rFonts w:ascii="Times New Roman" w:hAnsi="Times New Roman" w:cs="Times New Roman"/>
                <w:sz w:val="20"/>
                <w:szCs w:val="20"/>
              </w:rPr>
              <w:t>7,05</w:t>
            </w:r>
          </w:p>
        </w:tc>
        <w:tc>
          <w:tcPr>
            <w:tcW w:w="1435" w:type="dxa"/>
            <w:shd w:val="clear" w:color="auto" w:fill="A6A6A6" w:themeFill="background1" w:themeFillShade="A6"/>
          </w:tcPr>
          <w:p w14:paraId="192DF4CF" w14:textId="35F5E62A" w:rsidR="008F084B" w:rsidRPr="00A364D6" w:rsidRDefault="003179F4"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13157122" w14:textId="6CD93948" w:rsidR="008F084B" w:rsidRPr="00A364D6" w:rsidRDefault="00645853"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38A1E737" w14:textId="59785444"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362FF5DC" w14:textId="41EA4552" w:rsidR="008F084B" w:rsidRPr="00A364D6" w:rsidRDefault="003179F4" w:rsidP="00645853">
            <w:pPr>
              <w:jc w:val="right"/>
              <w:rPr>
                <w:rFonts w:ascii="Times New Roman" w:hAnsi="Times New Roman" w:cs="Times New Roman"/>
                <w:sz w:val="20"/>
                <w:szCs w:val="20"/>
              </w:rPr>
            </w:pPr>
            <w:r w:rsidRPr="00A364D6">
              <w:rPr>
                <w:rFonts w:ascii="Times New Roman" w:hAnsi="Times New Roman" w:cs="Times New Roman"/>
                <w:sz w:val="20"/>
                <w:szCs w:val="20"/>
              </w:rPr>
              <w:t>3</w:t>
            </w:r>
            <w:r w:rsidR="00A364D6" w:rsidRPr="00A364D6">
              <w:rPr>
                <w:rFonts w:ascii="Times New Roman" w:hAnsi="Times New Roman" w:cs="Times New Roman"/>
                <w:sz w:val="20"/>
                <w:szCs w:val="20"/>
              </w:rPr>
              <w:t>0</w:t>
            </w:r>
            <w:r w:rsidR="0005567A" w:rsidRPr="00A364D6">
              <w:rPr>
                <w:rFonts w:ascii="Times New Roman" w:hAnsi="Times New Roman" w:cs="Times New Roman"/>
                <w:sz w:val="20"/>
                <w:szCs w:val="20"/>
              </w:rPr>
              <w:t>,</w:t>
            </w:r>
            <w:r w:rsidR="00645853" w:rsidRPr="00A364D6">
              <w:rPr>
                <w:rFonts w:ascii="Times New Roman" w:hAnsi="Times New Roman" w:cs="Times New Roman"/>
                <w:sz w:val="20"/>
                <w:szCs w:val="20"/>
              </w:rPr>
              <w:t>00</w:t>
            </w:r>
          </w:p>
        </w:tc>
        <w:tc>
          <w:tcPr>
            <w:tcW w:w="1006" w:type="dxa"/>
          </w:tcPr>
          <w:p w14:paraId="68F7BA55" w14:textId="77777777" w:rsidR="008F084B" w:rsidRPr="00A364D6" w:rsidRDefault="008F084B" w:rsidP="00645853">
            <w:pPr>
              <w:jc w:val="right"/>
              <w:rPr>
                <w:rFonts w:ascii="Times New Roman" w:hAnsi="Times New Roman" w:cs="Times New Roman"/>
                <w:sz w:val="20"/>
                <w:szCs w:val="20"/>
              </w:rPr>
            </w:pPr>
          </w:p>
        </w:tc>
        <w:tc>
          <w:tcPr>
            <w:tcW w:w="2157" w:type="dxa"/>
            <w:shd w:val="clear" w:color="auto" w:fill="A6A6A6" w:themeFill="background1" w:themeFillShade="A6"/>
          </w:tcPr>
          <w:p w14:paraId="02B43EAD" w14:textId="7845A65E"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083A85F0" w14:textId="77777777" w:rsidTr="00BE3FC8">
        <w:tc>
          <w:tcPr>
            <w:tcW w:w="419" w:type="dxa"/>
            <w:vAlign w:val="center"/>
          </w:tcPr>
          <w:p w14:paraId="27378F50"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8</w:t>
            </w:r>
          </w:p>
        </w:tc>
        <w:tc>
          <w:tcPr>
            <w:tcW w:w="1607" w:type="dxa"/>
          </w:tcPr>
          <w:p w14:paraId="1981A99C" w14:textId="77777777" w:rsidR="00BE3FC8" w:rsidRPr="00A364D6" w:rsidRDefault="00BE3FC8" w:rsidP="00BE3FC8">
            <w:pPr>
              <w:rPr>
                <w:rFonts w:ascii="Times New Roman" w:hAnsi="Times New Roman" w:cs="Times New Roman"/>
                <w:b/>
                <w:sz w:val="20"/>
                <w:szCs w:val="20"/>
              </w:rPr>
            </w:pPr>
            <w:r w:rsidRPr="00A364D6">
              <w:rPr>
                <w:rFonts w:ascii="Times New Roman" w:hAnsi="Times New Roman" w:cs="Times New Roman"/>
                <w:b/>
                <w:sz w:val="20"/>
                <w:szCs w:val="20"/>
              </w:rPr>
              <w:t>Dłużne papiery wartościowe</w:t>
            </w:r>
          </w:p>
        </w:tc>
        <w:tc>
          <w:tcPr>
            <w:tcW w:w="1596" w:type="dxa"/>
          </w:tcPr>
          <w:p w14:paraId="1E548C55" w14:textId="37CE7600"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2C98575F" w14:textId="6BD9AED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6B5C9DB8" w14:textId="6461D7FC"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5B1B7D40" w14:textId="3880B8F1"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48A0DF2F" w14:textId="7C319512"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5E9EED3B" w14:textId="1530BE64"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11FFE480" w14:textId="0A04B6B5"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20EDC3D7" w14:textId="71E1EFF4"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5C7ED191" w14:textId="03BF584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5102A4C7" w14:textId="77777777" w:rsidTr="00BE3FC8">
        <w:tc>
          <w:tcPr>
            <w:tcW w:w="419" w:type="dxa"/>
            <w:vAlign w:val="center"/>
          </w:tcPr>
          <w:p w14:paraId="48310EFF" w14:textId="77777777" w:rsidR="00BE3FC8" w:rsidRPr="00A364D6" w:rsidRDefault="00BE3FC8" w:rsidP="00BE3FC8">
            <w:pPr>
              <w:jc w:val="center"/>
              <w:rPr>
                <w:rFonts w:ascii="Times New Roman" w:hAnsi="Times New Roman" w:cs="Times New Roman"/>
                <w:sz w:val="20"/>
                <w:szCs w:val="20"/>
              </w:rPr>
            </w:pPr>
            <w:r w:rsidRPr="00A364D6">
              <w:rPr>
                <w:rFonts w:ascii="Times New Roman" w:hAnsi="Times New Roman" w:cs="Times New Roman"/>
                <w:sz w:val="20"/>
                <w:szCs w:val="20"/>
              </w:rPr>
              <w:t>9</w:t>
            </w:r>
          </w:p>
        </w:tc>
        <w:tc>
          <w:tcPr>
            <w:tcW w:w="1607" w:type="dxa"/>
          </w:tcPr>
          <w:p w14:paraId="1D191911" w14:textId="77777777" w:rsidR="00BE3FC8" w:rsidRPr="00A364D6" w:rsidRDefault="00BE3FC8" w:rsidP="00BE3FC8">
            <w:pPr>
              <w:rPr>
                <w:rFonts w:ascii="Times New Roman" w:hAnsi="Times New Roman" w:cs="Times New Roman"/>
                <w:b/>
                <w:sz w:val="20"/>
                <w:szCs w:val="20"/>
              </w:rPr>
            </w:pPr>
            <w:r w:rsidRPr="00A364D6">
              <w:rPr>
                <w:rFonts w:ascii="Times New Roman" w:hAnsi="Times New Roman" w:cs="Times New Roman"/>
                <w:b/>
                <w:sz w:val="20"/>
                <w:szCs w:val="20"/>
              </w:rPr>
              <w:t>Udzielone zobowiązania do udzielenia pożyczki</w:t>
            </w:r>
          </w:p>
        </w:tc>
        <w:tc>
          <w:tcPr>
            <w:tcW w:w="1596" w:type="dxa"/>
          </w:tcPr>
          <w:p w14:paraId="66E35F24" w14:textId="0691A376"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3BC5CA3C" w14:textId="4F8DD59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2DEC37B0" w14:textId="18A7CE6B"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435" w:type="dxa"/>
            <w:shd w:val="clear" w:color="auto" w:fill="A6A6A6" w:themeFill="background1" w:themeFillShade="A6"/>
          </w:tcPr>
          <w:p w14:paraId="5A21373F" w14:textId="3D43C92C"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178" w:type="dxa"/>
          </w:tcPr>
          <w:p w14:paraId="475163B2" w14:textId="6A388490"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186A8E84" w14:textId="1542671A"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4AEA122E" w14:textId="2F79FB4E"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006" w:type="dxa"/>
          </w:tcPr>
          <w:p w14:paraId="10C83958" w14:textId="75AAB547"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shd w:val="clear" w:color="auto" w:fill="A6A6A6" w:themeFill="background1" w:themeFillShade="A6"/>
          </w:tcPr>
          <w:p w14:paraId="6C4C9525" w14:textId="30F94BBF" w:rsidR="00BE3FC8" w:rsidRPr="00A364D6" w:rsidRDefault="00BE3FC8" w:rsidP="00BE3FC8">
            <w:pPr>
              <w:jc w:val="right"/>
              <w:rPr>
                <w:rFonts w:ascii="Times New Roman" w:hAnsi="Times New Roman" w:cs="Times New Roman"/>
                <w:sz w:val="20"/>
                <w:szCs w:val="20"/>
              </w:rPr>
            </w:pPr>
            <w:r w:rsidRPr="00A364D6">
              <w:rPr>
                <w:rFonts w:ascii="Times New Roman" w:hAnsi="Times New Roman" w:cs="Times New Roman"/>
                <w:sz w:val="20"/>
                <w:szCs w:val="20"/>
              </w:rPr>
              <w:t>0,00</w:t>
            </w:r>
          </w:p>
        </w:tc>
      </w:tr>
      <w:tr w:rsidR="00A364D6" w:rsidRPr="00A364D6" w14:paraId="69565987" w14:textId="77777777" w:rsidTr="00BE3FC8">
        <w:tc>
          <w:tcPr>
            <w:tcW w:w="419" w:type="dxa"/>
          </w:tcPr>
          <w:p w14:paraId="6D783557" w14:textId="77777777" w:rsidR="008F084B" w:rsidRPr="00A364D6" w:rsidRDefault="008F084B" w:rsidP="008F084B">
            <w:pPr>
              <w:jc w:val="both"/>
              <w:rPr>
                <w:rFonts w:ascii="Times New Roman" w:hAnsi="Times New Roman" w:cs="Times New Roman"/>
                <w:b/>
                <w:sz w:val="20"/>
                <w:szCs w:val="20"/>
              </w:rPr>
            </w:pPr>
            <w:r w:rsidRPr="00A364D6">
              <w:rPr>
                <w:rFonts w:ascii="Times New Roman" w:hAnsi="Times New Roman" w:cs="Times New Roman"/>
                <w:b/>
                <w:sz w:val="20"/>
                <w:szCs w:val="20"/>
              </w:rPr>
              <w:t>10</w:t>
            </w:r>
          </w:p>
        </w:tc>
        <w:tc>
          <w:tcPr>
            <w:tcW w:w="1607" w:type="dxa"/>
          </w:tcPr>
          <w:p w14:paraId="37A33CA6" w14:textId="77777777" w:rsidR="008F084B" w:rsidRPr="00A364D6" w:rsidRDefault="008F084B" w:rsidP="008F084B">
            <w:pPr>
              <w:jc w:val="both"/>
              <w:rPr>
                <w:rFonts w:ascii="Times New Roman" w:hAnsi="Times New Roman" w:cs="Times New Roman"/>
                <w:b/>
                <w:sz w:val="20"/>
                <w:szCs w:val="20"/>
              </w:rPr>
            </w:pPr>
            <w:r w:rsidRPr="00A364D6">
              <w:rPr>
                <w:rFonts w:ascii="Times New Roman" w:hAnsi="Times New Roman" w:cs="Times New Roman"/>
                <w:b/>
                <w:sz w:val="20"/>
                <w:szCs w:val="20"/>
              </w:rPr>
              <w:t>Łącznie</w:t>
            </w:r>
          </w:p>
        </w:tc>
        <w:tc>
          <w:tcPr>
            <w:tcW w:w="1596" w:type="dxa"/>
          </w:tcPr>
          <w:p w14:paraId="0C5A7178" w14:textId="67C593A5"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603" w:type="dxa"/>
          </w:tcPr>
          <w:p w14:paraId="04BFAED0" w14:textId="18A2AA15"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976" w:type="dxa"/>
          </w:tcPr>
          <w:p w14:paraId="48A2071A" w14:textId="50CC9F4A" w:rsidR="008F084B" w:rsidRPr="00A364D6" w:rsidRDefault="003179F4" w:rsidP="00645853">
            <w:pPr>
              <w:jc w:val="right"/>
              <w:rPr>
                <w:rFonts w:ascii="Times New Roman" w:hAnsi="Times New Roman" w:cs="Times New Roman"/>
                <w:sz w:val="20"/>
                <w:szCs w:val="20"/>
              </w:rPr>
            </w:pPr>
            <w:r w:rsidRPr="00A364D6">
              <w:rPr>
                <w:rFonts w:ascii="Times New Roman" w:hAnsi="Times New Roman" w:cs="Times New Roman"/>
                <w:sz w:val="20"/>
                <w:szCs w:val="20"/>
              </w:rPr>
              <w:t>9</w:t>
            </w:r>
            <w:r w:rsidR="00A364D6" w:rsidRPr="00A364D6">
              <w:rPr>
                <w:rFonts w:ascii="Times New Roman" w:hAnsi="Times New Roman" w:cs="Times New Roman"/>
                <w:sz w:val="20"/>
                <w:szCs w:val="20"/>
              </w:rPr>
              <w:t>6,93</w:t>
            </w:r>
          </w:p>
        </w:tc>
        <w:tc>
          <w:tcPr>
            <w:tcW w:w="1435" w:type="dxa"/>
          </w:tcPr>
          <w:p w14:paraId="0AF74A5D" w14:textId="21A22717" w:rsidR="008F084B" w:rsidRPr="00A364D6" w:rsidRDefault="008F084B" w:rsidP="00645853">
            <w:pPr>
              <w:jc w:val="right"/>
              <w:rPr>
                <w:rFonts w:ascii="Times New Roman" w:hAnsi="Times New Roman" w:cs="Times New Roman"/>
                <w:sz w:val="20"/>
                <w:szCs w:val="20"/>
              </w:rPr>
            </w:pPr>
          </w:p>
        </w:tc>
        <w:tc>
          <w:tcPr>
            <w:tcW w:w="1178" w:type="dxa"/>
          </w:tcPr>
          <w:p w14:paraId="4BEC8410" w14:textId="413E220D" w:rsidR="008F084B" w:rsidRPr="00A364D6" w:rsidRDefault="00645853"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895" w:type="dxa"/>
            <w:gridSpan w:val="4"/>
          </w:tcPr>
          <w:p w14:paraId="4B932F15" w14:textId="66DBA80A"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1765" w:type="dxa"/>
          </w:tcPr>
          <w:p w14:paraId="6882073A" w14:textId="5F59D629" w:rsidR="008F084B" w:rsidRPr="00A364D6" w:rsidRDefault="00645853" w:rsidP="00645853">
            <w:pPr>
              <w:jc w:val="right"/>
              <w:rPr>
                <w:rFonts w:ascii="Times New Roman" w:hAnsi="Times New Roman" w:cs="Times New Roman"/>
                <w:sz w:val="20"/>
                <w:szCs w:val="20"/>
              </w:rPr>
            </w:pPr>
            <w:r w:rsidRPr="00A364D6">
              <w:rPr>
                <w:rFonts w:ascii="Times New Roman" w:hAnsi="Times New Roman" w:cs="Times New Roman"/>
                <w:sz w:val="20"/>
                <w:szCs w:val="20"/>
              </w:rPr>
              <w:t>3</w:t>
            </w:r>
            <w:r w:rsidR="00A364D6" w:rsidRPr="00A364D6">
              <w:rPr>
                <w:rFonts w:ascii="Times New Roman" w:hAnsi="Times New Roman" w:cs="Times New Roman"/>
                <w:sz w:val="20"/>
                <w:szCs w:val="20"/>
              </w:rPr>
              <w:t>0</w:t>
            </w:r>
            <w:r w:rsidR="0005567A" w:rsidRPr="00A364D6">
              <w:rPr>
                <w:rFonts w:ascii="Times New Roman" w:hAnsi="Times New Roman" w:cs="Times New Roman"/>
                <w:sz w:val="20"/>
                <w:szCs w:val="20"/>
              </w:rPr>
              <w:t>,</w:t>
            </w:r>
            <w:r w:rsidRPr="00A364D6">
              <w:rPr>
                <w:rFonts w:ascii="Times New Roman" w:hAnsi="Times New Roman" w:cs="Times New Roman"/>
                <w:sz w:val="20"/>
                <w:szCs w:val="20"/>
              </w:rPr>
              <w:t>00</w:t>
            </w:r>
          </w:p>
        </w:tc>
        <w:tc>
          <w:tcPr>
            <w:tcW w:w="1006" w:type="dxa"/>
          </w:tcPr>
          <w:p w14:paraId="5F5C2AAA" w14:textId="13CA76AE"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c>
          <w:tcPr>
            <w:tcW w:w="2157" w:type="dxa"/>
          </w:tcPr>
          <w:p w14:paraId="6DDD997E" w14:textId="5937AC07" w:rsidR="008F084B" w:rsidRPr="00A364D6" w:rsidRDefault="00BE3FC8" w:rsidP="00645853">
            <w:pPr>
              <w:jc w:val="right"/>
              <w:rPr>
                <w:rFonts w:ascii="Times New Roman" w:hAnsi="Times New Roman" w:cs="Times New Roman"/>
                <w:sz w:val="20"/>
                <w:szCs w:val="20"/>
              </w:rPr>
            </w:pPr>
            <w:r w:rsidRPr="00A364D6">
              <w:rPr>
                <w:rFonts w:ascii="Times New Roman" w:hAnsi="Times New Roman" w:cs="Times New Roman"/>
                <w:sz w:val="20"/>
                <w:szCs w:val="20"/>
              </w:rPr>
              <w:t>0,00</w:t>
            </w:r>
          </w:p>
        </w:tc>
      </w:tr>
    </w:tbl>
    <w:tbl>
      <w:tblPr>
        <w:tblW w:w="7380" w:type="dxa"/>
        <w:tblCellMar>
          <w:left w:w="70" w:type="dxa"/>
          <w:right w:w="70" w:type="dxa"/>
        </w:tblCellMar>
        <w:tblLook w:val="04A0" w:firstRow="1" w:lastRow="0" w:firstColumn="1" w:lastColumn="0" w:noHBand="0" w:noVBand="1"/>
      </w:tblPr>
      <w:tblGrid>
        <w:gridCol w:w="2720"/>
        <w:gridCol w:w="1740"/>
        <w:gridCol w:w="1300"/>
        <w:gridCol w:w="1620"/>
      </w:tblGrid>
      <w:tr w:rsidR="00A364D6" w:rsidRPr="00A364D6" w14:paraId="743B1AF3" w14:textId="77777777" w:rsidTr="00CD0946">
        <w:trPr>
          <w:trHeight w:val="444"/>
        </w:trPr>
        <w:tc>
          <w:tcPr>
            <w:tcW w:w="2720" w:type="dxa"/>
            <w:tcBorders>
              <w:top w:val="nil"/>
              <w:left w:val="nil"/>
              <w:bottom w:val="nil"/>
              <w:right w:val="nil"/>
            </w:tcBorders>
            <w:shd w:val="clear" w:color="auto" w:fill="auto"/>
            <w:noWrap/>
            <w:vAlign w:val="bottom"/>
            <w:hideMark/>
          </w:tcPr>
          <w:p w14:paraId="0FB80731" w14:textId="77777777" w:rsidR="00CD0946" w:rsidRPr="00A364D6" w:rsidRDefault="00CD0946" w:rsidP="00CD0946">
            <w:r w:rsidRPr="00A364D6">
              <w:t>Legenda:</w:t>
            </w:r>
          </w:p>
        </w:tc>
        <w:tc>
          <w:tcPr>
            <w:tcW w:w="1740" w:type="dxa"/>
            <w:tcBorders>
              <w:top w:val="nil"/>
              <w:left w:val="nil"/>
              <w:bottom w:val="nil"/>
              <w:right w:val="nil"/>
            </w:tcBorders>
            <w:shd w:val="clear" w:color="auto" w:fill="auto"/>
            <w:noWrap/>
            <w:vAlign w:val="bottom"/>
            <w:hideMark/>
          </w:tcPr>
          <w:p w14:paraId="21F8AAF5" w14:textId="77777777" w:rsidR="00CD0946" w:rsidRPr="00A364D6" w:rsidRDefault="00CD0946" w:rsidP="00CD0946">
            <w:pPr>
              <w:rPr>
                <w:rFonts w:ascii="Calibri" w:hAnsi="Calibri" w:cs="Calibri"/>
              </w:rPr>
            </w:pPr>
          </w:p>
        </w:tc>
        <w:tc>
          <w:tcPr>
            <w:tcW w:w="1300" w:type="dxa"/>
            <w:tcBorders>
              <w:top w:val="nil"/>
              <w:left w:val="nil"/>
              <w:bottom w:val="nil"/>
              <w:right w:val="nil"/>
            </w:tcBorders>
            <w:shd w:val="clear" w:color="auto" w:fill="auto"/>
            <w:noWrap/>
            <w:vAlign w:val="bottom"/>
            <w:hideMark/>
          </w:tcPr>
          <w:p w14:paraId="5BC34FC5" w14:textId="77777777" w:rsidR="00CD0946" w:rsidRPr="00A364D6" w:rsidRDefault="00CD0946" w:rsidP="00CD0946">
            <w:pPr>
              <w:rPr>
                <w:sz w:val="20"/>
                <w:szCs w:val="20"/>
              </w:rPr>
            </w:pPr>
          </w:p>
        </w:tc>
        <w:tc>
          <w:tcPr>
            <w:tcW w:w="1620" w:type="dxa"/>
            <w:tcBorders>
              <w:top w:val="nil"/>
              <w:left w:val="nil"/>
              <w:bottom w:val="nil"/>
              <w:right w:val="nil"/>
            </w:tcBorders>
            <w:shd w:val="clear" w:color="auto" w:fill="auto"/>
            <w:noWrap/>
            <w:vAlign w:val="bottom"/>
            <w:hideMark/>
          </w:tcPr>
          <w:p w14:paraId="6ED81F71" w14:textId="77777777" w:rsidR="00CD0946" w:rsidRPr="00A364D6" w:rsidRDefault="00CD0946" w:rsidP="00CD0946">
            <w:pPr>
              <w:rPr>
                <w:sz w:val="20"/>
                <w:szCs w:val="20"/>
              </w:rPr>
            </w:pPr>
          </w:p>
        </w:tc>
      </w:tr>
      <w:tr w:rsidR="00A364D6" w:rsidRPr="00A364D6" w14:paraId="50786FAE" w14:textId="77777777" w:rsidTr="00CD0946">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C182" w14:textId="77777777" w:rsidR="00CD0946" w:rsidRPr="00A364D6" w:rsidRDefault="00CD0946" w:rsidP="00CD0946">
            <w:pPr>
              <w:rPr>
                <w:rFonts w:ascii="Calibri" w:hAnsi="Calibri" w:cs="Calibri"/>
              </w:rPr>
            </w:pPr>
            <w:r w:rsidRPr="00A364D6">
              <w:rPr>
                <w:rFonts w:ascii="Calibri" w:hAnsi="Calibri" w:cs="Calibri"/>
              </w:rPr>
              <w:t> </w:t>
            </w:r>
          </w:p>
        </w:tc>
        <w:tc>
          <w:tcPr>
            <w:tcW w:w="4660" w:type="dxa"/>
            <w:gridSpan w:val="3"/>
            <w:tcBorders>
              <w:top w:val="nil"/>
              <w:left w:val="nil"/>
              <w:bottom w:val="nil"/>
              <w:right w:val="nil"/>
            </w:tcBorders>
            <w:shd w:val="clear" w:color="auto" w:fill="auto"/>
            <w:noWrap/>
            <w:vAlign w:val="bottom"/>
            <w:hideMark/>
          </w:tcPr>
          <w:p w14:paraId="185D5AFE" w14:textId="77777777" w:rsidR="00CD0946" w:rsidRPr="00A364D6" w:rsidRDefault="00CD0946" w:rsidP="00CD0946">
            <w:r w:rsidRPr="00A364D6">
              <w:t>pola, których wypełnianie jest obowiązkowe</w:t>
            </w:r>
          </w:p>
        </w:tc>
      </w:tr>
      <w:tr w:rsidR="00ED417D" w:rsidRPr="00ED417D" w14:paraId="06A027EE" w14:textId="77777777" w:rsidTr="00CD0946">
        <w:trPr>
          <w:trHeight w:val="300"/>
        </w:trPr>
        <w:tc>
          <w:tcPr>
            <w:tcW w:w="2720" w:type="dxa"/>
            <w:tcBorders>
              <w:top w:val="single" w:sz="4" w:space="0" w:color="auto"/>
              <w:left w:val="single" w:sz="4" w:space="0" w:color="3F3F3F"/>
              <w:bottom w:val="single" w:sz="4" w:space="0" w:color="3F3F3F"/>
              <w:right w:val="single" w:sz="4" w:space="0" w:color="3F3F3F"/>
            </w:tcBorders>
            <w:shd w:val="clear" w:color="000000" w:fill="A6A6A6" w:themeFill="background1" w:themeFillShade="A6"/>
            <w:noWrap/>
            <w:vAlign w:val="bottom"/>
            <w:hideMark/>
          </w:tcPr>
          <w:p w14:paraId="376142E6" w14:textId="77777777" w:rsidR="00CD0946" w:rsidRPr="00ED417D" w:rsidRDefault="00CD0946" w:rsidP="00CD0946">
            <w:pPr>
              <w:rPr>
                <w:rFonts w:ascii="Calibri" w:hAnsi="Calibri" w:cs="Calibri"/>
                <w:b/>
                <w:bCs/>
                <w:color w:val="FF0000"/>
              </w:rPr>
            </w:pPr>
            <w:r w:rsidRPr="00ED417D">
              <w:rPr>
                <w:rFonts w:ascii="Calibri" w:hAnsi="Calibri" w:cs="Calibri"/>
                <w:b/>
                <w:bCs/>
                <w:color w:val="FF0000"/>
              </w:rPr>
              <w:lastRenderedPageBreak/>
              <w:t> </w:t>
            </w:r>
          </w:p>
        </w:tc>
        <w:tc>
          <w:tcPr>
            <w:tcW w:w="4660" w:type="dxa"/>
            <w:gridSpan w:val="3"/>
            <w:tcBorders>
              <w:top w:val="nil"/>
              <w:left w:val="nil"/>
              <w:bottom w:val="nil"/>
              <w:right w:val="nil"/>
            </w:tcBorders>
            <w:shd w:val="clear" w:color="auto" w:fill="auto"/>
            <w:noWrap/>
            <w:vAlign w:val="bottom"/>
            <w:hideMark/>
          </w:tcPr>
          <w:p w14:paraId="29503F7B" w14:textId="77777777" w:rsidR="00CD0946" w:rsidRPr="00ED417D" w:rsidRDefault="00CD0946" w:rsidP="00CD0946">
            <w:pPr>
              <w:rPr>
                <w:color w:val="FF0000"/>
              </w:rPr>
            </w:pPr>
            <w:r w:rsidRPr="00ED417D">
              <w:rPr>
                <w:color w:val="FF0000"/>
              </w:rPr>
              <w:t>pola, których wypełnianie jest nieobowiązkowe</w:t>
            </w:r>
          </w:p>
        </w:tc>
      </w:tr>
    </w:tbl>
    <w:p w14:paraId="49288B8F" w14:textId="77777777" w:rsidR="00CD0946" w:rsidRPr="00ED417D" w:rsidRDefault="00CD0946" w:rsidP="008F084B">
      <w:pPr>
        <w:rPr>
          <w:rFonts w:ascii="Times New Roman" w:hAnsi="Times New Roman" w:cs="Times New Roman"/>
          <w:color w:val="FF0000"/>
          <w:sz w:val="24"/>
          <w:szCs w:val="24"/>
        </w:rPr>
      </w:pPr>
    </w:p>
    <w:p w14:paraId="337ECC56" w14:textId="77777777" w:rsidR="008F084B" w:rsidRPr="00A364D6" w:rsidRDefault="008F084B"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6632"/>
          <w:tab w:val="num" w:pos="3621"/>
        </w:tabs>
        <w:spacing w:after="0" w:line="240" w:lineRule="auto"/>
        <w:ind w:left="426" w:hanging="426"/>
        <w:jc w:val="both"/>
        <w:rPr>
          <w:rFonts w:ascii="Times New Roman" w:hAnsi="Times New Roman" w:cs="Times New Roman"/>
          <w:b/>
          <w:sz w:val="24"/>
          <w:szCs w:val="24"/>
        </w:rPr>
      </w:pPr>
      <w:r w:rsidRPr="00A364D6">
        <w:rPr>
          <w:rFonts w:ascii="Times New Roman" w:hAnsi="Times New Roman" w:cs="Times New Roman"/>
          <w:b/>
          <w:sz w:val="24"/>
          <w:szCs w:val="24"/>
        </w:rPr>
        <w:t>Jakość kredytowa ekspozycji obsługiwanych i nieobsługiwanych w podziale według liczby dni przeterminowania</w:t>
      </w:r>
    </w:p>
    <w:tbl>
      <w:tblPr>
        <w:tblStyle w:val="Tabela-Siatka"/>
        <w:tblW w:w="14029" w:type="dxa"/>
        <w:tblLayout w:type="fixed"/>
        <w:tblLook w:val="04A0" w:firstRow="1" w:lastRow="0" w:firstColumn="1" w:lastColumn="0" w:noHBand="0" w:noVBand="1"/>
      </w:tblPr>
      <w:tblGrid>
        <w:gridCol w:w="419"/>
        <w:gridCol w:w="1282"/>
        <w:gridCol w:w="415"/>
        <w:gridCol w:w="1446"/>
        <w:gridCol w:w="36"/>
        <w:gridCol w:w="1208"/>
        <w:gridCol w:w="30"/>
        <w:gridCol w:w="537"/>
        <w:gridCol w:w="1417"/>
        <w:gridCol w:w="843"/>
        <w:gridCol w:w="8"/>
        <w:gridCol w:w="992"/>
        <w:gridCol w:w="992"/>
        <w:gridCol w:w="993"/>
        <w:gridCol w:w="992"/>
        <w:gridCol w:w="992"/>
        <w:gridCol w:w="1427"/>
      </w:tblGrid>
      <w:tr w:rsidR="00A364D6" w:rsidRPr="00A364D6" w14:paraId="15FC061A" w14:textId="77777777" w:rsidTr="00EC486A">
        <w:tc>
          <w:tcPr>
            <w:tcW w:w="1701" w:type="dxa"/>
            <w:gridSpan w:val="2"/>
            <w:vMerge w:val="restart"/>
            <w:tcBorders>
              <w:top w:val="nil"/>
              <w:left w:val="nil"/>
            </w:tcBorders>
          </w:tcPr>
          <w:p w14:paraId="2271BB7D" w14:textId="77777777" w:rsidR="008F084B" w:rsidRPr="00A364D6" w:rsidRDefault="008F084B" w:rsidP="00CD0946">
            <w:pPr>
              <w:jc w:val="both"/>
              <w:rPr>
                <w:rFonts w:cstheme="minorHAnsi"/>
                <w:sz w:val="20"/>
                <w:szCs w:val="20"/>
              </w:rPr>
            </w:pPr>
          </w:p>
        </w:tc>
        <w:tc>
          <w:tcPr>
            <w:tcW w:w="415" w:type="dxa"/>
          </w:tcPr>
          <w:p w14:paraId="00325F64" w14:textId="77777777" w:rsidR="008F084B" w:rsidRPr="00A364D6" w:rsidRDefault="008F084B" w:rsidP="00CD0946">
            <w:pPr>
              <w:jc w:val="center"/>
              <w:rPr>
                <w:rFonts w:cstheme="minorHAnsi"/>
                <w:sz w:val="18"/>
                <w:szCs w:val="20"/>
              </w:rPr>
            </w:pPr>
            <w:r w:rsidRPr="00A364D6">
              <w:rPr>
                <w:rFonts w:cstheme="minorHAnsi"/>
                <w:sz w:val="18"/>
                <w:szCs w:val="20"/>
              </w:rPr>
              <w:t>a</w:t>
            </w:r>
          </w:p>
        </w:tc>
        <w:tc>
          <w:tcPr>
            <w:tcW w:w="1482" w:type="dxa"/>
            <w:gridSpan w:val="2"/>
          </w:tcPr>
          <w:p w14:paraId="27821C8D" w14:textId="77777777" w:rsidR="008F084B" w:rsidRPr="00A364D6" w:rsidRDefault="008F084B" w:rsidP="00CD0946">
            <w:pPr>
              <w:jc w:val="center"/>
              <w:rPr>
                <w:rFonts w:cstheme="minorHAnsi"/>
                <w:sz w:val="18"/>
                <w:szCs w:val="20"/>
              </w:rPr>
            </w:pPr>
            <w:r w:rsidRPr="00A364D6">
              <w:rPr>
                <w:rFonts w:cstheme="minorHAnsi"/>
                <w:sz w:val="18"/>
                <w:szCs w:val="20"/>
              </w:rPr>
              <w:t>B</w:t>
            </w:r>
          </w:p>
        </w:tc>
        <w:tc>
          <w:tcPr>
            <w:tcW w:w="1208" w:type="dxa"/>
          </w:tcPr>
          <w:p w14:paraId="458E20EB" w14:textId="77777777" w:rsidR="008F084B" w:rsidRPr="00A364D6" w:rsidRDefault="008F084B" w:rsidP="00CD0946">
            <w:pPr>
              <w:jc w:val="center"/>
              <w:rPr>
                <w:rFonts w:cstheme="minorHAnsi"/>
                <w:sz w:val="18"/>
                <w:szCs w:val="20"/>
              </w:rPr>
            </w:pPr>
            <w:r w:rsidRPr="00A364D6">
              <w:rPr>
                <w:rFonts w:cstheme="minorHAnsi"/>
                <w:sz w:val="18"/>
                <w:szCs w:val="20"/>
              </w:rPr>
              <w:t>c</w:t>
            </w:r>
          </w:p>
        </w:tc>
        <w:tc>
          <w:tcPr>
            <w:tcW w:w="567" w:type="dxa"/>
            <w:gridSpan w:val="2"/>
          </w:tcPr>
          <w:p w14:paraId="7891BB79" w14:textId="77777777" w:rsidR="008F084B" w:rsidRPr="00A364D6" w:rsidRDefault="008F084B" w:rsidP="00CD0946">
            <w:pPr>
              <w:jc w:val="center"/>
              <w:rPr>
                <w:rFonts w:cstheme="minorHAnsi"/>
                <w:sz w:val="18"/>
                <w:szCs w:val="20"/>
              </w:rPr>
            </w:pPr>
            <w:r w:rsidRPr="00A364D6">
              <w:rPr>
                <w:rFonts w:cstheme="minorHAnsi"/>
                <w:sz w:val="18"/>
                <w:szCs w:val="20"/>
              </w:rPr>
              <w:t>d</w:t>
            </w:r>
          </w:p>
        </w:tc>
        <w:tc>
          <w:tcPr>
            <w:tcW w:w="1417" w:type="dxa"/>
          </w:tcPr>
          <w:p w14:paraId="09D20493" w14:textId="77777777" w:rsidR="008F084B" w:rsidRPr="00A364D6" w:rsidRDefault="008F084B" w:rsidP="00CD0946">
            <w:pPr>
              <w:jc w:val="center"/>
              <w:rPr>
                <w:rFonts w:cstheme="minorHAnsi"/>
                <w:sz w:val="18"/>
                <w:szCs w:val="20"/>
              </w:rPr>
            </w:pPr>
            <w:r w:rsidRPr="00A364D6">
              <w:rPr>
                <w:rFonts w:cstheme="minorHAnsi"/>
                <w:sz w:val="18"/>
                <w:szCs w:val="20"/>
              </w:rPr>
              <w:t>e</w:t>
            </w:r>
          </w:p>
        </w:tc>
        <w:tc>
          <w:tcPr>
            <w:tcW w:w="851" w:type="dxa"/>
            <w:gridSpan w:val="2"/>
          </w:tcPr>
          <w:p w14:paraId="5906395E" w14:textId="77777777" w:rsidR="008F084B" w:rsidRPr="00A364D6" w:rsidRDefault="008F084B" w:rsidP="00CD0946">
            <w:pPr>
              <w:jc w:val="center"/>
              <w:rPr>
                <w:rFonts w:cstheme="minorHAnsi"/>
                <w:sz w:val="18"/>
                <w:szCs w:val="20"/>
              </w:rPr>
            </w:pPr>
            <w:r w:rsidRPr="00A364D6">
              <w:rPr>
                <w:rFonts w:cstheme="minorHAnsi"/>
                <w:sz w:val="18"/>
                <w:szCs w:val="20"/>
              </w:rPr>
              <w:t>f</w:t>
            </w:r>
          </w:p>
        </w:tc>
        <w:tc>
          <w:tcPr>
            <w:tcW w:w="992" w:type="dxa"/>
          </w:tcPr>
          <w:p w14:paraId="5ED3AD4E" w14:textId="77777777" w:rsidR="008F084B" w:rsidRPr="00A364D6" w:rsidRDefault="008F084B" w:rsidP="00CD0946">
            <w:pPr>
              <w:jc w:val="center"/>
              <w:rPr>
                <w:rFonts w:cstheme="minorHAnsi"/>
                <w:sz w:val="18"/>
                <w:szCs w:val="20"/>
              </w:rPr>
            </w:pPr>
            <w:r w:rsidRPr="00A364D6">
              <w:rPr>
                <w:rFonts w:cstheme="minorHAnsi"/>
                <w:sz w:val="18"/>
                <w:szCs w:val="20"/>
              </w:rPr>
              <w:t>g</w:t>
            </w:r>
          </w:p>
        </w:tc>
        <w:tc>
          <w:tcPr>
            <w:tcW w:w="992" w:type="dxa"/>
          </w:tcPr>
          <w:p w14:paraId="79AC6139" w14:textId="77777777" w:rsidR="008F084B" w:rsidRPr="00A364D6" w:rsidRDefault="008F084B" w:rsidP="00CD0946">
            <w:pPr>
              <w:jc w:val="center"/>
              <w:rPr>
                <w:rFonts w:cstheme="minorHAnsi"/>
                <w:sz w:val="18"/>
                <w:szCs w:val="20"/>
              </w:rPr>
            </w:pPr>
            <w:r w:rsidRPr="00A364D6">
              <w:rPr>
                <w:rFonts w:cstheme="minorHAnsi"/>
                <w:sz w:val="18"/>
                <w:szCs w:val="20"/>
              </w:rPr>
              <w:t>h</w:t>
            </w:r>
          </w:p>
        </w:tc>
        <w:tc>
          <w:tcPr>
            <w:tcW w:w="993" w:type="dxa"/>
          </w:tcPr>
          <w:p w14:paraId="651ACA61" w14:textId="77777777" w:rsidR="008F084B" w:rsidRPr="00A364D6" w:rsidRDefault="008F084B" w:rsidP="00CD0946">
            <w:pPr>
              <w:jc w:val="center"/>
              <w:rPr>
                <w:rFonts w:cstheme="minorHAnsi"/>
                <w:sz w:val="18"/>
                <w:szCs w:val="20"/>
              </w:rPr>
            </w:pPr>
            <w:r w:rsidRPr="00A364D6">
              <w:rPr>
                <w:rFonts w:cstheme="minorHAnsi"/>
                <w:sz w:val="18"/>
                <w:szCs w:val="20"/>
              </w:rPr>
              <w:t>i</w:t>
            </w:r>
          </w:p>
        </w:tc>
        <w:tc>
          <w:tcPr>
            <w:tcW w:w="992" w:type="dxa"/>
          </w:tcPr>
          <w:p w14:paraId="4FD2E30C" w14:textId="77777777" w:rsidR="008F084B" w:rsidRPr="00A364D6" w:rsidRDefault="008F084B" w:rsidP="00CD0946">
            <w:pPr>
              <w:jc w:val="center"/>
              <w:rPr>
                <w:rFonts w:cstheme="minorHAnsi"/>
                <w:sz w:val="18"/>
                <w:szCs w:val="20"/>
              </w:rPr>
            </w:pPr>
            <w:r w:rsidRPr="00A364D6">
              <w:rPr>
                <w:rFonts w:cstheme="minorHAnsi"/>
                <w:sz w:val="18"/>
                <w:szCs w:val="20"/>
              </w:rPr>
              <w:t>j</w:t>
            </w:r>
          </w:p>
        </w:tc>
        <w:tc>
          <w:tcPr>
            <w:tcW w:w="992" w:type="dxa"/>
          </w:tcPr>
          <w:p w14:paraId="685D2E34" w14:textId="77777777" w:rsidR="008F084B" w:rsidRPr="00A364D6" w:rsidRDefault="008F084B" w:rsidP="00CD0946">
            <w:pPr>
              <w:jc w:val="center"/>
              <w:rPr>
                <w:rFonts w:cstheme="minorHAnsi"/>
                <w:sz w:val="18"/>
                <w:szCs w:val="20"/>
              </w:rPr>
            </w:pPr>
            <w:r w:rsidRPr="00A364D6">
              <w:rPr>
                <w:rFonts w:cstheme="minorHAnsi"/>
                <w:sz w:val="18"/>
                <w:szCs w:val="20"/>
              </w:rPr>
              <w:t>k</w:t>
            </w:r>
          </w:p>
        </w:tc>
        <w:tc>
          <w:tcPr>
            <w:tcW w:w="1427" w:type="dxa"/>
          </w:tcPr>
          <w:p w14:paraId="59C281D7" w14:textId="77777777" w:rsidR="008F084B" w:rsidRPr="00A364D6" w:rsidRDefault="008F084B" w:rsidP="00CD0946">
            <w:pPr>
              <w:jc w:val="center"/>
              <w:rPr>
                <w:rFonts w:cstheme="minorHAnsi"/>
                <w:sz w:val="18"/>
                <w:szCs w:val="20"/>
              </w:rPr>
            </w:pPr>
            <w:r w:rsidRPr="00A364D6">
              <w:rPr>
                <w:rFonts w:cstheme="minorHAnsi"/>
                <w:sz w:val="18"/>
                <w:szCs w:val="20"/>
              </w:rPr>
              <w:t>l</w:t>
            </w:r>
          </w:p>
        </w:tc>
      </w:tr>
      <w:tr w:rsidR="00A364D6" w:rsidRPr="00A364D6" w14:paraId="5B58C4FB" w14:textId="77777777" w:rsidTr="00EC486A">
        <w:tc>
          <w:tcPr>
            <w:tcW w:w="1701" w:type="dxa"/>
            <w:gridSpan w:val="2"/>
            <w:vMerge/>
            <w:tcBorders>
              <w:left w:val="nil"/>
            </w:tcBorders>
          </w:tcPr>
          <w:p w14:paraId="0082C3A1" w14:textId="77777777" w:rsidR="008F084B" w:rsidRPr="00A364D6" w:rsidRDefault="008F084B" w:rsidP="00CD0946">
            <w:pPr>
              <w:jc w:val="both"/>
              <w:rPr>
                <w:rFonts w:cstheme="minorHAnsi"/>
                <w:sz w:val="20"/>
                <w:szCs w:val="20"/>
              </w:rPr>
            </w:pPr>
          </w:p>
        </w:tc>
        <w:tc>
          <w:tcPr>
            <w:tcW w:w="12328" w:type="dxa"/>
            <w:gridSpan w:val="15"/>
          </w:tcPr>
          <w:p w14:paraId="3397A319" w14:textId="77777777" w:rsidR="008F084B" w:rsidRPr="00A364D6" w:rsidRDefault="008F084B" w:rsidP="00CD0946">
            <w:pPr>
              <w:jc w:val="center"/>
              <w:rPr>
                <w:rFonts w:cstheme="minorHAnsi"/>
                <w:sz w:val="18"/>
                <w:szCs w:val="20"/>
              </w:rPr>
            </w:pPr>
            <w:r w:rsidRPr="00A364D6">
              <w:rPr>
                <w:rFonts w:cstheme="minorHAnsi"/>
                <w:sz w:val="18"/>
                <w:szCs w:val="20"/>
              </w:rPr>
              <w:t>Wartość bilansowa brutto/kwota nominalna</w:t>
            </w:r>
          </w:p>
        </w:tc>
      </w:tr>
      <w:tr w:rsidR="00A364D6" w:rsidRPr="00A364D6" w14:paraId="3E67D07E" w14:textId="77777777" w:rsidTr="00EC486A">
        <w:tc>
          <w:tcPr>
            <w:tcW w:w="1701" w:type="dxa"/>
            <w:gridSpan w:val="2"/>
            <w:vMerge/>
            <w:tcBorders>
              <w:left w:val="nil"/>
            </w:tcBorders>
          </w:tcPr>
          <w:p w14:paraId="7789C0C9" w14:textId="77777777" w:rsidR="008F084B" w:rsidRPr="00A364D6" w:rsidRDefault="008F084B" w:rsidP="00CD0946">
            <w:pPr>
              <w:jc w:val="both"/>
              <w:rPr>
                <w:rFonts w:cstheme="minorHAnsi"/>
                <w:sz w:val="20"/>
                <w:szCs w:val="20"/>
              </w:rPr>
            </w:pPr>
          </w:p>
        </w:tc>
        <w:tc>
          <w:tcPr>
            <w:tcW w:w="3135" w:type="dxa"/>
            <w:gridSpan w:val="5"/>
          </w:tcPr>
          <w:p w14:paraId="7AB5E13E" w14:textId="77777777" w:rsidR="008F084B" w:rsidRPr="00A364D6" w:rsidRDefault="008F084B" w:rsidP="00CD0946">
            <w:pPr>
              <w:jc w:val="center"/>
              <w:rPr>
                <w:rFonts w:cstheme="minorHAnsi"/>
                <w:sz w:val="18"/>
                <w:szCs w:val="20"/>
              </w:rPr>
            </w:pPr>
            <w:r w:rsidRPr="00A364D6">
              <w:rPr>
                <w:rFonts w:cstheme="minorHAnsi"/>
                <w:sz w:val="18"/>
                <w:szCs w:val="20"/>
              </w:rPr>
              <w:t>Ekspozycje obsługiwane</w:t>
            </w:r>
          </w:p>
        </w:tc>
        <w:tc>
          <w:tcPr>
            <w:tcW w:w="9193" w:type="dxa"/>
            <w:gridSpan w:val="10"/>
          </w:tcPr>
          <w:p w14:paraId="2E8EFC0A" w14:textId="77777777" w:rsidR="008F084B" w:rsidRPr="00A364D6" w:rsidRDefault="008F084B" w:rsidP="00CD0946">
            <w:pPr>
              <w:jc w:val="center"/>
              <w:rPr>
                <w:rFonts w:cstheme="minorHAnsi"/>
                <w:sz w:val="18"/>
                <w:szCs w:val="20"/>
              </w:rPr>
            </w:pPr>
            <w:r w:rsidRPr="00A364D6">
              <w:rPr>
                <w:rFonts w:cstheme="minorHAnsi"/>
                <w:sz w:val="18"/>
                <w:szCs w:val="20"/>
              </w:rPr>
              <w:t>Ekspozycje nieobsługiwane</w:t>
            </w:r>
          </w:p>
        </w:tc>
      </w:tr>
      <w:tr w:rsidR="00A364D6" w:rsidRPr="00A364D6" w14:paraId="321B2726" w14:textId="77777777" w:rsidTr="00EC486A">
        <w:tc>
          <w:tcPr>
            <w:tcW w:w="1701" w:type="dxa"/>
            <w:gridSpan w:val="2"/>
            <w:vMerge/>
            <w:tcBorders>
              <w:left w:val="nil"/>
            </w:tcBorders>
          </w:tcPr>
          <w:p w14:paraId="2FB648D7" w14:textId="77777777" w:rsidR="008F084B" w:rsidRPr="00A364D6" w:rsidRDefault="008F084B" w:rsidP="00CD0946">
            <w:pPr>
              <w:jc w:val="both"/>
              <w:rPr>
                <w:rFonts w:cstheme="minorHAnsi"/>
                <w:sz w:val="20"/>
                <w:szCs w:val="20"/>
              </w:rPr>
            </w:pPr>
          </w:p>
        </w:tc>
        <w:tc>
          <w:tcPr>
            <w:tcW w:w="415" w:type="dxa"/>
            <w:tcBorders>
              <w:top w:val="nil"/>
            </w:tcBorders>
          </w:tcPr>
          <w:p w14:paraId="7F153C7D" w14:textId="77777777" w:rsidR="008F084B" w:rsidRPr="00A364D6" w:rsidRDefault="008F084B" w:rsidP="00CD0946">
            <w:pPr>
              <w:jc w:val="center"/>
              <w:rPr>
                <w:rFonts w:cstheme="minorHAnsi"/>
                <w:sz w:val="18"/>
                <w:szCs w:val="20"/>
              </w:rPr>
            </w:pPr>
          </w:p>
        </w:tc>
        <w:tc>
          <w:tcPr>
            <w:tcW w:w="1446" w:type="dxa"/>
          </w:tcPr>
          <w:p w14:paraId="6CBE8630" w14:textId="77777777" w:rsidR="008F084B" w:rsidRPr="00A364D6" w:rsidRDefault="008F084B" w:rsidP="00CD0946">
            <w:pPr>
              <w:jc w:val="center"/>
              <w:rPr>
                <w:rFonts w:cstheme="minorHAnsi"/>
                <w:sz w:val="18"/>
                <w:szCs w:val="20"/>
              </w:rPr>
            </w:pPr>
            <w:r w:rsidRPr="00A364D6">
              <w:rPr>
                <w:rFonts w:cstheme="minorHAnsi"/>
                <w:sz w:val="18"/>
                <w:szCs w:val="20"/>
              </w:rPr>
              <w:t>Nieprzeterminowane lub przeterminowane ≤ 30 dni</w:t>
            </w:r>
          </w:p>
        </w:tc>
        <w:tc>
          <w:tcPr>
            <w:tcW w:w="1274" w:type="dxa"/>
            <w:gridSpan w:val="3"/>
          </w:tcPr>
          <w:p w14:paraId="642EC62A" w14:textId="77777777" w:rsidR="008F084B" w:rsidRPr="00A364D6" w:rsidRDefault="008F084B" w:rsidP="00CD0946">
            <w:pPr>
              <w:jc w:val="center"/>
              <w:rPr>
                <w:rFonts w:cstheme="minorHAnsi"/>
                <w:sz w:val="18"/>
                <w:szCs w:val="20"/>
              </w:rPr>
            </w:pPr>
            <w:r w:rsidRPr="00A364D6">
              <w:rPr>
                <w:rFonts w:cstheme="minorHAnsi"/>
                <w:sz w:val="18"/>
                <w:szCs w:val="20"/>
              </w:rPr>
              <w:t>Przeterminowane &gt; 30 dni ≤ 90 dni</w:t>
            </w:r>
          </w:p>
        </w:tc>
        <w:tc>
          <w:tcPr>
            <w:tcW w:w="537" w:type="dxa"/>
          </w:tcPr>
          <w:p w14:paraId="7175144B" w14:textId="77777777" w:rsidR="008F084B" w:rsidRPr="00A364D6" w:rsidRDefault="008F084B" w:rsidP="00CD0946">
            <w:pPr>
              <w:pStyle w:val="Default"/>
              <w:jc w:val="center"/>
              <w:rPr>
                <w:rFonts w:asciiTheme="minorHAnsi" w:hAnsiTheme="minorHAnsi" w:cstheme="minorHAnsi"/>
                <w:color w:val="auto"/>
                <w:sz w:val="18"/>
                <w:szCs w:val="20"/>
              </w:rPr>
            </w:pPr>
          </w:p>
        </w:tc>
        <w:tc>
          <w:tcPr>
            <w:tcW w:w="1417" w:type="dxa"/>
          </w:tcPr>
          <w:p w14:paraId="339875B0"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Małe prawdopodobieństwo spłaty ekspozycji nieprzeterminowanych albo przeterminowanych ≤ 90 dni</w:t>
            </w:r>
          </w:p>
        </w:tc>
        <w:tc>
          <w:tcPr>
            <w:tcW w:w="843" w:type="dxa"/>
          </w:tcPr>
          <w:p w14:paraId="7AE79EE6"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&gt; 90 dni ≤ 180 dni</w:t>
            </w:r>
          </w:p>
        </w:tc>
        <w:tc>
          <w:tcPr>
            <w:tcW w:w="1000" w:type="dxa"/>
            <w:gridSpan w:val="2"/>
          </w:tcPr>
          <w:p w14:paraId="22C7E613"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&gt; 180 dni ≤ 1 rok</w:t>
            </w:r>
          </w:p>
        </w:tc>
        <w:tc>
          <w:tcPr>
            <w:tcW w:w="992" w:type="dxa"/>
            <w:shd w:val="clear" w:color="auto" w:fill="E36C0A" w:themeFill="accent6" w:themeFillShade="BF"/>
          </w:tcPr>
          <w:p w14:paraId="69D23EF1"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&gt; 1 rok ≤ 5 lat</w:t>
            </w:r>
          </w:p>
        </w:tc>
        <w:tc>
          <w:tcPr>
            <w:tcW w:w="993" w:type="dxa"/>
            <w:shd w:val="clear" w:color="auto" w:fill="E36C0A" w:themeFill="accent6" w:themeFillShade="BF"/>
          </w:tcPr>
          <w:p w14:paraId="41C58DCD"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powyżej 5 lat</w:t>
            </w:r>
          </w:p>
        </w:tc>
        <w:tc>
          <w:tcPr>
            <w:tcW w:w="992" w:type="dxa"/>
          </w:tcPr>
          <w:p w14:paraId="52DDBAAD"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&gt; 5 lat ≤ 7 lat</w:t>
            </w:r>
          </w:p>
        </w:tc>
        <w:tc>
          <w:tcPr>
            <w:tcW w:w="992" w:type="dxa"/>
          </w:tcPr>
          <w:p w14:paraId="1F4F6A72"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Przeterminowane &gt; 7 lat</w:t>
            </w:r>
          </w:p>
        </w:tc>
        <w:tc>
          <w:tcPr>
            <w:tcW w:w="1427" w:type="dxa"/>
          </w:tcPr>
          <w:p w14:paraId="44B36AF6" w14:textId="77777777" w:rsidR="008F084B" w:rsidRPr="00A364D6" w:rsidRDefault="008F084B" w:rsidP="00CD0946">
            <w:pPr>
              <w:pStyle w:val="Default"/>
              <w:jc w:val="center"/>
              <w:rPr>
                <w:rFonts w:ascii="Times New Roman" w:eastAsia="Times New Roman" w:hAnsi="Times New Roman" w:cstheme="minorHAnsi"/>
                <w:color w:val="auto"/>
                <w:sz w:val="18"/>
                <w:szCs w:val="20"/>
                <w:lang w:eastAsia="pl-PL"/>
              </w:rPr>
            </w:pPr>
            <w:r w:rsidRPr="00A364D6">
              <w:rPr>
                <w:rFonts w:ascii="Times New Roman" w:eastAsia="Times New Roman" w:hAnsi="Times New Roman" w:cstheme="minorHAnsi"/>
                <w:color w:val="auto"/>
                <w:sz w:val="18"/>
                <w:szCs w:val="20"/>
                <w:lang w:eastAsia="pl-PL"/>
              </w:rPr>
              <w:t>W tym ekspozycje, których dotyczy niewykonanie zobowiązania</w:t>
            </w:r>
          </w:p>
        </w:tc>
      </w:tr>
      <w:tr w:rsidR="00ED417D" w:rsidRPr="00ED417D" w14:paraId="57AA5FB8" w14:textId="77777777" w:rsidTr="00D53713">
        <w:tc>
          <w:tcPr>
            <w:tcW w:w="419" w:type="dxa"/>
          </w:tcPr>
          <w:p w14:paraId="56B9B718" w14:textId="77777777" w:rsidR="00662FC9" w:rsidRPr="00A364D6" w:rsidRDefault="00662FC9" w:rsidP="00662FC9">
            <w:pPr>
              <w:jc w:val="both"/>
              <w:rPr>
                <w:rFonts w:cstheme="minorHAnsi"/>
                <w:sz w:val="20"/>
                <w:szCs w:val="20"/>
              </w:rPr>
            </w:pPr>
            <w:r w:rsidRPr="00A364D6">
              <w:rPr>
                <w:rFonts w:cstheme="minorHAnsi"/>
                <w:sz w:val="20"/>
                <w:szCs w:val="20"/>
              </w:rPr>
              <w:t>1</w:t>
            </w:r>
          </w:p>
        </w:tc>
        <w:tc>
          <w:tcPr>
            <w:tcW w:w="1282" w:type="dxa"/>
          </w:tcPr>
          <w:p w14:paraId="2DB1E8D7" w14:textId="77777777" w:rsidR="00662FC9" w:rsidRPr="00A364D6" w:rsidRDefault="00662FC9" w:rsidP="00662FC9">
            <w:pPr>
              <w:pStyle w:val="Default"/>
              <w:rPr>
                <w:rFonts w:ascii="Times New Roman" w:hAnsi="Times New Roman" w:cs="Times New Roman"/>
                <w:b/>
                <w:color w:val="auto"/>
                <w:sz w:val="18"/>
                <w:szCs w:val="20"/>
              </w:rPr>
            </w:pPr>
            <w:r w:rsidRPr="00A364D6">
              <w:rPr>
                <w:rFonts w:ascii="Times New Roman" w:hAnsi="Times New Roman" w:cs="Times New Roman"/>
                <w:b/>
                <w:color w:val="auto"/>
                <w:sz w:val="18"/>
                <w:szCs w:val="20"/>
              </w:rPr>
              <w:t xml:space="preserve">Kredyty i zaliczki </w:t>
            </w:r>
          </w:p>
          <w:p w14:paraId="1D3E40C5" w14:textId="77777777" w:rsidR="00662FC9" w:rsidRPr="00A364D6" w:rsidRDefault="00662FC9" w:rsidP="00662FC9">
            <w:pPr>
              <w:rPr>
                <w:sz w:val="18"/>
                <w:szCs w:val="20"/>
              </w:rPr>
            </w:pPr>
          </w:p>
        </w:tc>
        <w:tc>
          <w:tcPr>
            <w:tcW w:w="415" w:type="dxa"/>
          </w:tcPr>
          <w:p w14:paraId="78479609" w14:textId="77777777" w:rsidR="00662FC9" w:rsidRPr="00A364D6" w:rsidRDefault="00662FC9" w:rsidP="00662FC9">
            <w:pPr>
              <w:jc w:val="right"/>
              <w:rPr>
                <w:rFonts w:cstheme="minorHAnsi"/>
                <w:sz w:val="20"/>
                <w:szCs w:val="20"/>
              </w:rPr>
            </w:pPr>
          </w:p>
        </w:tc>
        <w:tc>
          <w:tcPr>
            <w:tcW w:w="1446" w:type="dxa"/>
          </w:tcPr>
          <w:p w14:paraId="6D53DA9E" w14:textId="39731460" w:rsidR="00662FC9" w:rsidRPr="00A364D6" w:rsidRDefault="00A364D6" w:rsidP="00662FC9">
            <w:pPr>
              <w:jc w:val="right"/>
              <w:rPr>
                <w:rFonts w:cstheme="minorHAnsi"/>
                <w:b/>
                <w:bCs/>
                <w:sz w:val="20"/>
                <w:szCs w:val="20"/>
              </w:rPr>
            </w:pPr>
            <w:r w:rsidRPr="00A364D6">
              <w:rPr>
                <w:rFonts w:cstheme="minorHAnsi"/>
                <w:b/>
                <w:bCs/>
                <w:sz w:val="20"/>
                <w:szCs w:val="20"/>
              </w:rPr>
              <w:t>109 735,84</w:t>
            </w:r>
          </w:p>
        </w:tc>
        <w:tc>
          <w:tcPr>
            <w:tcW w:w="1274" w:type="dxa"/>
            <w:gridSpan w:val="3"/>
          </w:tcPr>
          <w:p w14:paraId="44F6C946" w14:textId="42DCA31F" w:rsidR="00662FC9" w:rsidRPr="00A364D6" w:rsidRDefault="00662FC9" w:rsidP="00662FC9">
            <w:pPr>
              <w:jc w:val="right"/>
              <w:rPr>
                <w:rFonts w:cstheme="minorHAnsi"/>
                <w:sz w:val="20"/>
                <w:szCs w:val="20"/>
              </w:rPr>
            </w:pPr>
            <w:r w:rsidRPr="00A364D6">
              <w:rPr>
                <w:rFonts w:cstheme="minorHAnsi"/>
                <w:sz w:val="20"/>
                <w:szCs w:val="20"/>
              </w:rPr>
              <w:t>0,00</w:t>
            </w:r>
          </w:p>
        </w:tc>
        <w:tc>
          <w:tcPr>
            <w:tcW w:w="537" w:type="dxa"/>
          </w:tcPr>
          <w:p w14:paraId="4A944F3B" w14:textId="77777777" w:rsidR="00662FC9" w:rsidRPr="00ED417D" w:rsidRDefault="00662FC9" w:rsidP="00662FC9">
            <w:pPr>
              <w:jc w:val="right"/>
              <w:rPr>
                <w:rFonts w:cstheme="minorHAnsi"/>
                <w:color w:val="FF0000"/>
                <w:sz w:val="20"/>
                <w:szCs w:val="20"/>
              </w:rPr>
            </w:pPr>
          </w:p>
        </w:tc>
        <w:tc>
          <w:tcPr>
            <w:tcW w:w="1417" w:type="dxa"/>
          </w:tcPr>
          <w:p w14:paraId="36B06B3E" w14:textId="2E7A87AE" w:rsidR="00662FC9" w:rsidRPr="00A364D6" w:rsidRDefault="00A364D6" w:rsidP="00662FC9">
            <w:pPr>
              <w:jc w:val="right"/>
              <w:rPr>
                <w:rFonts w:cstheme="minorHAnsi"/>
                <w:sz w:val="20"/>
                <w:szCs w:val="20"/>
              </w:rPr>
            </w:pPr>
            <w:r w:rsidRPr="00A364D6">
              <w:rPr>
                <w:rFonts w:cstheme="minorHAnsi"/>
                <w:sz w:val="20"/>
                <w:szCs w:val="20"/>
              </w:rPr>
              <w:t>801,74</w:t>
            </w:r>
          </w:p>
        </w:tc>
        <w:tc>
          <w:tcPr>
            <w:tcW w:w="843" w:type="dxa"/>
          </w:tcPr>
          <w:p w14:paraId="290EF713" w14:textId="3097EA4A" w:rsidR="00662FC9" w:rsidRPr="00A364D6" w:rsidRDefault="00A364D6" w:rsidP="00A364D6">
            <w:pPr>
              <w:jc w:val="right"/>
              <w:rPr>
                <w:rFonts w:cstheme="minorHAnsi"/>
                <w:sz w:val="20"/>
                <w:szCs w:val="20"/>
              </w:rPr>
            </w:pPr>
            <w:r w:rsidRPr="00A364D6">
              <w:rPr>
                <w:rFonts w:cstheme="minorHAnsi"/>
                <w:sz w:val="20"/>
                <w:szCs w:val="20"/>
              </w:rPr>
              <w:t>0,00</w:t>
            </w:r>
          </w:p>
        </w:tc>
        <w:tc>
          <w:tcPr>
            <w:tcW w:w="1000" w:type="dxa"/>
            <w:gridSpan w:val="2"/>
          </w:tcPr>
          <w:p w14:paraId="3E296DAB" w14:textId="6C9D8E4B" w:rsidR="00662FC9" w:rsidRPr="00A364D6" w:rsidRDefault="00A364D6" w:rsidP="00662FC9">
            <w:pPr>
              <w:jc w:val="right"/>
              <w:rPr>
                <w:rFonts w:cstheme="minorHAnsi"/>
                <w:sz w:val="20"/>
                <w:szCs w:val="20"/>
              </w:rPr>
            </w:pPr>
            <w:r w:rsidRPr="00A364D6">
              <w:rPr>
                <w:rFonts w:cstheme="minorHAnsi"/>
                <w:sz w:val="20"/>
                <w:szCs w:val="20"/>
              </w:rPr>
              <w:t>67,06</w:t>
            </w:r>
          </w:p>
        </w:tc>
        <w:tc>
          <w:tcPr>
            <w:tcW w:w="992" w:type="dxa"/>
          </w:tcPr>
          <w:p w14:paraId="566103D3" w14:textId="7959BD56" w:rsidR="00662FC9" w:rsidRPr="00ED417D" w:rsidRDefault="00A364D6" w:rsidP="00662FC9">
            <w:pPr>
              <w:jc w:val="right"/>
              <w:rPr>
                <w:rFonts w:cstheme="minorHAnsi"/>
                <w:color w:val="FF0000"/>
                <w:sz w:val="20"/>
                <w:szCs w:val="20"/>
              </w:rPr>
            </w:pPr>
            <w:r w:rsidRPr="00A364D6">
              <w:rPr>
                <w:rFonts w:cstheme="minorHAnsi"/>
                <w:sz w:val="20"/>
                <w:szCs w:val="20"/>
              </w:rPr>
              <w:t>947,59</w:t>
            </w:r>
          </w:p>
        </w:tc>
        <w:tc>
          <w:tcPr>
            <w:tcW w:w="993" w:type="dxa"/>
          </w:tcPr>
          <w:p w14:paraId="62DC9329" w14:textId="528180A3" w:rsidR="00662FC9" w:rsidRPr="00A364D6" w:rsidRDefault="00A364D6" w:rsidP="00662FC9">
            <w:pPr>
              <w:jc w:val="right"/>
              <w:rPr>
                <w:rFonts w:cstheme="minorHAnsi"/>
                <w:sz w:val="20"/>
                <w:szCs w:val="20"/>
              </w:rPr>
            </w:pPr>
            <w:r w:rsidRPr="00A364D6">
              <w:rPr>
                <w:rFonts w:cstheme="minorHAnsi"/>
                <w:sz w:val="20"/>
                <w:szCs w:val="20"/>
              </w:rPr>
              <w:t>29,88</w:t>
            </w:r>
          </w:p>
        </w:tc>
        <w:tc>
          <w:tcPr>
            <w:tcW w:w="992" w:type="dxa"/>
          </w:tcPr>
          <w:p w14:paraId="4306801C" w14:textId="4BA90A00" w:rsidR="00662FC9" w:rsidRPr="00A364D6" w:rsidRDefault="00662FC9" w:rsidP="00662FC9">
            <w:pPr>
              <w:jc w:val="right"/>
              <w:rPr>
                <w:rFonts w:cstheme="minorHAnsi"/>
                <w:sz w:val="20"/>
                <w:szCs w:val="20"/>
              </w:rPr>
            </w:pPr>
            <w:r w:rsidRPr="00A364D6">
              <w:rPr>
                <w:rFonts w:cstheme="minorHAnsi"/>
                <w:sz w:val="20"/>
                <w:szCs w:val="20"/>
              </w:rPr>
              <w:t>0,00</w:t>
            </w:r>
          </w:p>
        </w:tc>
        <w:tc>
          <w:tcPr>
            <w:tcW w:w="992" w:type="dxa"/>
          </w:tcPr>
          <w:p w14:paraId="6B6D8172" w14:textId="2EF16CB4"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630BD2FF" w14:textId="7EE412E6"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6EBBD55C" w14:textId="77777777" w:rsidTr="00D53713">
        <w:tc>
          <w:tcPr>
            <w:tcW w:w="419" w:type="dxa"/>
          </w:tcPr>
          <w:p w14:paraId="3E2702F1" w14:textId="77777777" w:rsidR="00662FC9" w:rsidRPr="00A364D6" w:rsidRDefault="00662FC9" w:rsidP="00662FC9">
            <w:pPr>
              <w:jc w:val="both"/>
              <w:rPr>
                <w:rFonts w:cstheme="minorHAnsi"/>
                <w:sz w:val="20"/>
                <w:szCs w:val="20"/>
              </w:rPr>
            </w:pPr>
            <w:r w:rsidRPr="00A364D6">
              <w:rPr>
                <w:rFonts w:cstheme="minorHAnsi"/>
                <w:sz w:val="20"/>
                <w:szCs w:val="20"/>
              </w:rPr>
              <w:t>2</w:t>
            </w:r>
          </w:p>
        </w:tc>
        <w:tc>
          <w:tcPr>
            <w:tcW w:w="1282" w:type="dxa"/>
          </w:tcPr>
          <w:p w14:paraId="79A89D02" w14:textId="77777777" w:rsidR="00662FC9" w:rsidRPr="00A364D6" w:rsidRDefault="00662FC9" w:rsidP="00662FC9">
            <w:pPr>
              <w:pStyle w:val="Default"/>
              <w:rPr>
                <w:rFonts w:ascii="Times New Roman" w:hAnsi="Times New Roman" w:cs="Times New Roman"/>
                <w:color w:val="auto"/>
                <w:sz w:val="18"/>
                <w:szCs w:val="20"/>
              </w:rPr>
            </w:pPr>
            <w:r w:rsidRPr="00A364D6">
              <w:rPr>
                <w:rFonts w:ascii="Times New Roman" w:hAnsi="Times New Roman" w:cs="Times New Roman"/>
                <w:iCs/>
                <w:color w:val="auto"/>
                <w:sz w:val="18"/>
                <w:szCs w:val="20"/>
              </w:rPr>
              <w:t xml:space="preserve">Banki centralne </w:t>
            </w:r>
          </w:p>
          <w:p w14:paraId="549C3E2D" w14:textId="77777777" w:rsidR="00662FC9" w:rsidRPr="00A364D6" w:rsidRDefault="00662FC9" w:rsidP="00662FC9">
            <w:pPr>
              <w:rPr>
                <w:sz w:val="18"/>
                <w:szCs w:val="20"/>
              </w:rPr>
            </w:pPr>
          </w:p>
        </w:tc>
        <w:tc>
          <w:tcPr>
            <w:tcW w:w="415" w:type="dxa"/>
          </w:tcPr>
          <w:p w14:paraId="090A2648" w14:textId="77777777" w:rsidR="00662FC9" w:rsidRPr="00A364D6" w:rsidRDefault="00662FC9" w:rsidP="00662FC9">
            <w:pPr>
              <w:jc w:val="right"/>
              <w:rPr>
                <w:rFonts w:cstheme="minorHAnsi"/>
                <w:sz w:val="20"/>
                <w:szCs w:val="20"/>
              </w:rPr>
            </w:pPr>
          </w:p>
        </w:tc>
        <w:tc>
          <w:tcPr>
            <w:tcW w:w="1446" w:type="dxa"/>
          </w:tcPr>
          <w:p w14:paraId="656B5B24" w14:textId="77777777" w:rsidR="00662FC9" w:rsidRPr="00A364D6" w:rsidRDefault="00662FC9" w:rsidP="00662FC9">
            <w:pPr>
              <w:jc w:val="right"/>
              <w:rPr>
                <w:rFonts w:cstheme="minorHAnsi"/>
                <w:sz w:val="20"/>
                <w:szCs w:val="20"/>
              </w:rPr>
            </w:pPr>
          </w:p>
        </w:tc>
        <w:tc>
          <w:tcPr>
            <w:tcW w:w="1274" w:type="dxa"/>
            <w:gridSpan w:val="3"/>
          </w:tcPr>
          <w:p w14:paraId="62945CC0" w14:textId="1B22A720" w:rsidR="00662FC9" w:rsidRPr="00A364D6" w:rsidRDefault="00662FC9" w:rsidP="00662FC9">
            <w:pPr>
              <w:jc w:val="right"/>
              <w:rPr>
                <w:rFonts w:cstheme="minorHAnsi"/>
                <w:sz w:val="20"/>
                <w:szCs w:val="20"/>
              </w:rPr>
            </w:pPr>
            <w:r w:rsidRPr="00A364D6">
              <w:rPr>
                <w:rFonts w:cstheme="minorHAnsi"/>
                <w:sz w:val="20"/>
                <w:szCs w:val="20"/>
              </w:rPr>
              <w:t>0,00</w:t>
            </w:r>
          </w:p>
        </w:tc>
        <w:tc>
          <w:tcPr>
            <w:tcW w:w="537" w:type="dxa"/>
          </w:tcPr>
          <w:p w14:paraId="70B7286F" w14:textId="77777777" w:rsidR="00662FC9" w:rsidRPr="00A364D6" w:rsidRDefault="00662FC9" w:rsidP="00662FC9">
            <w:pPr>
              <w:jc w:val="right"/>
              <w:rPr>
                <w:rFonts w:cstheme="minorHAnsi"/>
                <w:sz w:val="20"/>
                <w:szCs w:val="20"/>
              </w:rPr>
            </w:pPr>
          </w:p>
        </w:tc>
        <w:tc>
          <w:tcPr>
            <w:tcW w:w="1417" w:type="dxa"/>
          </w:tcPr>
          <w:p w14:paraId="3D971FBD" w14:textId="24FF5EE2" w:rsidR="00662FC9" w:rsidRPr="00A364D6" w:rsidRDefault="00662FC9" w:rsidP="00662FC9">
            <w:pPr>
              <w:jc w:val="right"/>
              <w:rPr>
                <w:rFonts w:cstheme="minorHAnsi"/>
                <w:sz w:val="20"/>
                <w:szCs w:val="20"/>
              </w:rPr>
            </w:pPr>
            <w:r w:rsidRPr="00A364D6">
              <w:rPr>
                <w:rFonts w:cstheme="minorHAnsi"/>
                <w:sz w:val="20"/>
                <w:szCs w:val="20"/>
              </w:rPr>
              <w:t>0,00</w:t>
            </w:r>
          </w:p>
        </w:tc>
        <w:tc>
          <w:tcPr>
            <w:tcW w:w="843" w:type="dxa"/>
          </w:tcPr>
          <w:p w14:paraId="69A96169" w14:textId="6D082267" w:rsidR="00662FC9" w:rsidRPr="00A364D6" w:rsidRDefault="00662FC9" w:rsidP="00662FC9">
            <w:pPr>
              <w:jc w:val="right"/>
              <w:rPr>
                <w:rFonts w:cstheme="minorHAnsi"/>
                <w:sz w:val="20"/>
                <w:szCs w:val="20"/>
              </w:rPr>
            </w:pPr>
            <w:r w:rsidRPr="00A364D6">
              <w:rPr>
                <w:rFonts w:cstheme="minorHAnsi"/>
                <w:sz w:val="20"/>
                <w:szCs w:val="20"/>
              </w:rPr>
              <w:t>0,00</w:t>
            </w:r>
          </w:p>
        </w:tc>
        <w:tc>
          <w:tcPr>
            <w:tcW w:w="1000" w:type="dxa"/>
            <w:gridSpan w:val="2"/>
          </w:tcPr>
          <w:p w14:paraId="220AEB7D" w14:textId="72EA2B87" w:rsidR="00662FC9" w:rsidRPr="00A364D6" w:rsidRDefault="00662FC9" w:rsidP="00662FC9">
            <w:pPr>
              <w:jc w:val="right"/>
              <w:rPr>
                <w:rFonts w:cstheme="minorHAnsi"/>
                <w:sz w:val="20"/>
                <w:szCs w:val="20"/>
              </w:rPr>
            </w:pPr>
            <w:r w:rsidRPr="00A364D6">
              <w:rPr>
                <w:rFonts w:cstheme="minorHAnsi"/>
                <w:sz w:val="20"/>
                <w:szCs w:val="20"/>
              </w:rPr>
              <w:t>0,00</w:t>
            </w:r>
          </w:p>
        </w:tc>
        <w:tc>
          <w:tcPr>
            <w:tcW w:w="992" w:type="dxa"/>
          </w:tcPr>
          <w:p w14:paraId="17F8D4EF" w14:textId="0EFE3C46" w:rsidR="00662FC9" w:rsidRPr="00A364D6" w:rsidRDefault="00662FC9" w:rsidP="00662FC9">
            <w:pPr>
              <w:jc w:val="right"/>
              <w:rPr>
                <w:rFonts w:cstheme="minorHAnsi"/>
                <w:sz w:val="20"/>
                <w:szCs w:val="20"/>
              </w:rPr>
            </w:pPr>
            <w:r w:rsidRPr="00A364D6">
              <w:rPr>
                <w:rFonts w:cstheme="minorHAnsi"/>
                <w:sz w:val="20"/>
                <w:szCs w:val="20"/>
              </w:rPr>
              <w:t>0,00</w:t>
            </w:r>
          </w:p>
        </w:tc>
        <w:tc>
          <w:tcPr>
            <w:tcW w:w="993" w:type="dxa"/>
          </w:tcPr>
          <w:p w14:paraId="400D82FB" w14:textId="62A1A470" w:rsidR="00662FC9" w:rsidRPr="00A364D6" w:rsidRDefault="00662FC9" w:rsidP="00662FC9">
            <w:pPr>
              <w:jc w:val="right"/>
              <w:rPr>
                <w:rFonts w:cstheme="minorHAnsi"/>
                <w:sz w:val="20"/>
                <w:szCs w:val="20"/>
              </w:rPr>
            </w:pPr>
            <w:r w:rsidRPr="00A364D6">
              <w:rPr>
                <w:rFonts w:cstheme="minorHAnsi"/>
                <w:sz w:val="20"/>
                <w:szCs w:val="20"/>
              </w:rPr>
              <w:t>0,00</w:t>
            </w:r>
          </w:p>
        </w:tc>
        <w:tc>
          <w:tcPr>
            <w:tcW w:w="992" w:type="dxa"/>
          </w:tcPr>
          <w:p w14:paraId="6166ACD3" w14:textId="58A322C7" w:rsidR="00662FC9" w:rsidRPr="00A364D6" w:rsidRDefault="00662FC9" w:rsidP="00662FC9">
            <w:pPr>
              <w:jc w:val="right"/>
              <w:rPr>
                <w:rFonts w:cstheme="minorHAnsi"/>
                <w:sz w:val="20"/>
                <w:szCs w:val="20"/>
              </w:rPr>
            </w:pPr>
            <w:r w:rsidRPr="00A364D6">
              <w:rPr>
                <w:rFonts w:cstheme="minorHAnsi"/>
                <w:sz w:val="20"/>
                <w:szCs w:val="20"/>
              </w:rPr>
              <w:t>0,00</w:t>
            </w:r>
          </w:p>
        </w:tc>
        <w:tc>
          <w:tcPr>
            <w:tcW w:w="992" w:type="dxa"/>
          </w:tcPr>
          <w:p w14:paraId="3B010C18" w14:textId="54FC1C33"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3239CEB5" w14:textId="36970A6D"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579C3F31" w14:textId="77777777" w:rsidTr="00D53713">
        <w:tc>
          <w:tcPr>
            <w:tcW w:w="419" w:type="dxa"/>
          </w:tcPr>
          <w:p w14:paraId="36F521EF" w14:textId="77777777" w:rsidR="00662FC9" w:rsidRPr="00F42CDB" w:rsidRDefault="00662FC9" w:rsidP="00662FC9">
            <w:pPr>
              <w:jc w:val="both"/>
              <w:rPr>
                <w:rFonts w:cstheme="minorHAnsi"/>
                <w:sz w:val="20"/>
                <w:szCs w:val="20"/>
              </w:rPr>
            </w:pPr>
            <w:r w:rsidRPr="00F42CDB">
              <w:rPr>
                <w:rFonts w:cstheme="minorHAnsi"/>
                <w:sz w:val="20"/>
                <w:szCs w:val="20"/>
              </w:rPr>
              <w:t>3</w:t>
            </w:r>
          </w:p>
        </w:tc>
        <w:tc>
          <w:tcPr>
            <w:tcW w:w="1282" w:type="dxa"/>
          </w:tcPr>
          <w:p w14:paraId="75239CDF"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rządowe </w:t>
            </w:r>
          </w:p>
          <w:p w14:paraId="7246090D" w14:textId="77777777" w:rsidR="00662FC9" w:rsidRPr="00F42CDB" w:rsidRDefault="00662FC9" w:rsidP="00662FC9">
            <w:pPr>
              <w:rPr>
                <w:sz w:val="18"/>
                <w:szCs w:val="20"/>
              </w:rPr>
            </w:pPr>
          </w:p>
        </w:tc>
        <w:tc>
          <w:tcPr>
            <w:tcW w:w="415" w:type="dxa"/>
          </w:tcPr>
          <w:p w14:paraId="03D62340" w14:textId="77777777" w:rsidR="00662FC9" w:rsidRPr="00F42CDB" w:rsidRDefault="00662FC9" w:rsidP="00662FC9">
            <w:pPr>
              <w:jc w:val="right"/>
              <w:rPr>
                <w:rFonts w:cstheme="minorHAnsi"/>
                <w:sz w:val="20"/>
                <w:szCs w:val="20"/>
              </w:rPr>
            </w:pPr>
          </w:p>
        </w:tc>
        <w:tc>
          <w:tcPr>
            <w:tcW w:w="1446" w:type="dxa"/>
          </w:tcPr>
          <w:p w14:paraId="4912F48A" w14:textId="2B751237" w:rsidR="00662FC9" w:rsidRPr="00F42CDB" w:rsidRDefault="00F42CDB" w:rsidP="00662FC9">
            <w:pPr>
              <w:jc w:val="right"/>
              <w:rPr>
                <w:rFonts w:cstheme="minorHAnsi"/>
                <w:sz w:val="20"/>
                <w:szCs w:val="20"/>
              </w:rPr>
            </w:pPr>
            <w:r w:rsidRPr="00F42CDB">
              <w:rPr>
                <w:rFonts w:cstheme="minorHAnsi"/>
                <w:sz w:val="20"/>
                <w:szCs w:val="20"/>
              </w:rPr>
              <w:t>20 603,42</w:t>
            </w:r>
          </w:p>
        </w:tc>
        <w:tc>
          <w:tcPr>
            <w:tcW w:w="1274" w:type="dxa"/>
            <w:gridSpan w:val="3"/>
          </w:tcPr>
          <w:p w14:paraId="773C2500" w14:textId="2F13B8E0" w:rsidR="00662FC9" w:rsidRPr="00A364D6" w:rsidRDefault="00662FC9" w:rsidP="00662FC9">
            <w:pPr>
              <w:jc w:val="right"/>
              <w:rPr>
                <w:rFonts w:cstheme="minorHAnsi"/>
                <w:sz w:val="20"/>
                <w:szCs w:val="20"/>
              </w:rPr>
            </w:pPr>
            <w:r w:rsidRPr="00A364D6">
              <w:rPr>
                <w:rFonts w:cstheme="minorHAnsi"/>
                <w:sz w:val="20"/>
                <w:szCs w:val="20"/>
              </w:rPr>
              <w:t>0,00</w:t>
            </w:r>
          </w:p>
        </w:tc>
        <w:tc>
          <w:tcPr>
            <w:tcW w:w="537" w:type="dxa"/>
          </w:tcPr>
          <w:p w14:paraId="59646D28" w14:textId="77777777" w:rsidR="00662FC9" w:rsidRPr="00ED417D" w:rsidRDefault="00662FC9" w:rsidP="00662FC9">
            <w:pPr>
              <w:jc w:val="right"/>
              <w:rPr>
                <w:rFonts w:cstheme="minorHAnsi"/>
                <w:color w:val="FF0000"/>
                <w:sz w:val="20"/>
                <w:szCs w:val="20"/>
              </w:rPr>
            </w:pPr>
          </w:p>
        </w:tc>
        <w:tc>
          <w:tcPr>
            <w:tcW w:w="1417" w:type="dxa"/>
          </w:tcPr>
          <w:p w14:paraId="7CBC709E" w14:textId="011D936A" w:rsidR="00662FC9" w:rsidRPr="00F42CDB" w:rsidRDefault="00F42CDB" w:rsidP="00662FC9">
            <w:pPr>
              <w:jc w:val="right"/>
              <w:rPr>
                <w:rFonts w:cstheme="minorHAnsi"/>
                <w:sz w:val="20"/>
                <w:szCs w:val="20"/>
              </w:rPr>
            </w:pPr>
            <w:r w:rsidRPr="00F42CDB">
              <w:rPr>
                <w:rFonts w:cstheme="minorHAnsi"/>
                <w:sz w:val="20"/>
                <w:szCs w:val="20"/>
              </w:rPr>
              <w:t>170</w:t>
            </w:r>
            <w:r w:rsidR="00662FC9" w:rsidRPr="00F42CDB">
              <w:rPr>
                <w:rFonts w:cstheme="minorHAnsi"/>
                <w:sz w:val="20"/>
                <w:szCs w:val="20"/>
              </w:rPr>
              <w:t>,00</w:t>
            </w:r>
          </w:p>
        </w:tc>
        <w:tc>
          <w:tcPr>
            <w:tcW w:w="843" w:type="dxa"/>
          </w:tcPr>
          <w:p w14:paraId="64395C7A" w14:textId="61336C94"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079D9090" w14:textId="1C94D78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2BF886E" w14:textId="4A5B00CD"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48E1AC91" w14:textId="6E2E3FD1"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14A610E4" w14:textId="057A13C6"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1E2C8FB" w14:textId="66D2AF03"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344509F8" w14:textId="5B77C0E0"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49837267" w14:textId="77777777" w:rsidTr="00D53713">
        <w:tc>
          <w:tcPr>
            <w:tcW w:w="419" w:type="dxa"/>
          </w:tcPr>
          <w:p w14:paraId="20311B50" w14:textId="77777777" w:rsidR="00662FC9" w:rsidRPr="00F42CDB" w:rsidRDefault="00662FC9" w:rsidP="00662FC9">
            <w:pPr>
              <w:jc w:val="both"/>
              <w:rPr>
                <w:rFonts w:cstheme="minorHAnsi"/>
                <w:sz w:val="20"/>
                <w:szCs w:val="20"/>
              </w:rPr>
            </w:pPr>
            <w:r w:rsidRPr="00F42CDB">
              <w:rPr>
                <w:rFonts w:cstheme="minorHAnsi"/>
                <w:sz w:val="20"/>
                <w:szCs w:val="20"/>
              </w:rPr>
              <w:t>4</w:t>
            </w:r>
          </w:p>
        </w:tc>
        <w:tc>
          <w:tcPr>
            <w:tcW w:w="1282" w:type="dxa"/>
          </w:tcPr>
          <w:p w14:paraId="16F17DBE" w14:textId="616DB214"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kredytowe </w:t>
            </w:r>
          </w:p>
          <w:p w14:paraId="4971A5E9" w14:textId="77777777" w:rsidR="00662FC9" w:rsidRPr="00F42CDB" w:rsidRDefault="00662FC9" w:rsidP="00662FC9">
            <w:pPr>
              <w:rPr>
                <w:sz w:val="18"/>
                <w:szCs w:val="20"/>
              </w:rPr>
            </w:pPr>
          </w:p>
        </w:tc>
        <w:tc>
          <w:tcPr>
            <w:tcW w:w="415" w:type="dxa"/>
          </w:tcPr>
          <w:p w14:paraId="27F6A4DA" w14:textId="77777777" w:rsidR="00662FC9" w:rsidRPr="00ED417D" w:rsidRDefault="00662FC9" w:rsidP="00662FC9">
            <w:pPr>
              <w:jc w:val="right"/>
              <w:rPr>
                <w:rFonts w:cstheme="minorHAnsi"/>
                <w:color w:val="FF0000"/>
                <w:sz w:val="20"/>
                <w:szCs w:val="20"/>
              </w:rPr>
            </w:pPr>
          </w:p>
        </w:tc>
        <w:tc>
          <w:tcPr>
            <w:tcW w:w="1446" w:type="dxa"/>
          </w:tcPr>
          <w:p w14:paraId="3C1F046E" w14:textId="41605BD5" w:rsidR="00662FC9" w:rsidRPr="00F42CDB" w:rsidRDefault="00662FC9" w:rsidP="00662FC9">
            <w:pPr>
              <w:jc w:val="right"/>
              <w:rPr>
                <w:rFonts w:cstheme="minorHAnsi"/>
                <w:sz w:val="20"/>
                <w:szCs w:val="20"/>
              </w:rPr>
            </w:pPr>
            <w:r w:rsidRPr="00F42CDB">
              <w:rPr>
                <w:rFonts w:cstheme="minorHAnsi"/>
                <w:sz w:val="20"/>
                <w:szCs w:val="20"/>
              </w:rPr>
              <w:t>9</w:t>
            </w:r>
            <w:r w:rsidR="00F42CDB" w:rsidRPr="00F42CDB">
              <w:rPr>
                <w:rFonts w:cstheme="minorHAnsi"/>
                <w:sz w:val="20"/>
                <w:szCs w:val="20"/>
              </w:rPr>
              <w:t> 837,61</w:t>
            </w:r>
          </w:p>
        </w:tc>
        <w:tc>
          <w:tcPr>
            <w:tcW w:w="1274" w:type="dxa"/>
            <w:gridSpan w:val="3"/>
          </w:tcPr>
          <w:p w14:paraId="0CF9C382" w14:textId="4060D163"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64CE1A02" w14:textId="77777777" w:rsidR="00662FC9" w:rsidRPr="00F42CDB" w:rsidRDefault="00662FC9" w:rsidP="00662FC9">
            <w:pPr>
              <w:jc w:val="right"/>
              <w:rPr>
                <w:rFonts w:cstheme="minorHAnsi"/>
                <w:sz w:val="20"/>
                <w:szCs w:val="20"/>
              </w:rPr>
            </w:pPr>
          </w:p>
        </w:tc>
        <w:tc>
          <w:tcPr>
            <w:tcW w:w="1417" w:type="dxa"/>
          </w:tcPr>
          <w:p w14:paraId="51C89904" w14:textId="4F62B5FE"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17A30393" w14:textId="50E7A41E"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63CCDF10" w14:textId="151DF94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5965FA6" w14:textId="203A9B3B"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34E0404B" w14:textId="7F531AA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1A0F40AF" w14:textId="3755407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6313F55" w14:textId="3B90E1CD"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3A577DD7" w14:textId="1C2F43F1"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7E7860E7" w14:textId="77777777" w:rsidTr="00D53713">
        <w:tc>
          <w:tcPr>
            <w:tcW w:w="419" w:type="dxa"/>
          </w:tcPr>
          <w:p w14:paraId="52C8B654" w14:textId="77777777" w:rsidR="00662FC9" w:rsidRPr="00F42CDB" w:rsidRDefault="00662FC9" w:rsidP="00662FC9">
            <w:pPr>
              <w:jc w:val="both"/>
              <w:rPr>
                <w:rFonts w:cstheme="minorHAnsi"/>
                <w:sz w:val="20"/>
                <w:szCs w:val="20"/>
              </w:rPr>
            </w:pPr>
            <w:r w:rsidRPr="00F42CDB">
              <w:rPr>
                <w:rFonts w:cstheme="minorHAnsi"/>
                <w:sz w:val="20"/>
                <w:szCs w:val="20"/>
              </w:rPr>
              <w:t>5</w:t>
            </w:r>
          </w:p>
        </w:tc>
        <w:tc>
          <w:tcPr>
            <w:tcW w:w="1282" w:type="dxa"/>
          </w:tcPr>
          <w:p w14:paraId="79079758"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Inne instytucje finansowe </w:t>
            </w:r>
          </w:p>
          <w:p w14:paraId="3345FB36" w14:textId="77777777" w:rsidR="00662FC9" w:rsidRPr="00F42CDB" w:rsidRDefault="00662FC9" w:rsidP="00662FC9">
            <w:pPr>
              <w:rPr>
                <w:sz w:val="18"/>
                <w:szCs w:val="20"/>
              </w:rPr>
            </w:pPr>
          </w:p>
        </w:tc>
        <w:tc>
          <w:tcPr>
            <w:tcW w:w="415" w:type="dxa"/>
          </w:tcPr>
          <w:p w14:paraId="1EC3245B" w14:textId="77777777" w:rsidR="00662FC9" w:rsidRPr="00ED417D" w:rsidRDefault="00662FC9" w:rsidP="00662FC9">
            <w:pPr>
              <w:jc w:val="right"/>
              <w:rPr>
                <w:rFonts w:cstheme="minorHAnsi"/>
                <w:color w:val="FF0000"/>
                <w:sz w:val="20"/>
                <w:szCs w:val="20"/>
              </w:rPr>
            </w:pPr>
          </w:p>
        </w:tc>
        <w:tc>
          <w:tcPr>
            <w:tcW w:w="1446" w:type="dxa"/>
          </w:tcPr>
          <w:p w14:paraId="3F567373" w14:textId="27931806" w:rsidR="00662FC9" w:rsidRPr="00F42CDB" w:rsidRDefault="00F42CDB" w:rsidP="00662FC9">
            <w:pPr>
              <w:jc w:val="right"/>
              <w:rPr>
                <w:rFonts w:cstheme="minorHAnsi"/>
                <w:sz w:val="20"/>
                <w:szCs w:val="20"/>
              </w:rPr>
            </w:pPr>
            <w:r w:rsidRPr="00F42CDB">
              <w:rPr>
                <w:rFonts w:cstheme="minorHAnsi"/>
                <w:sz w:val="20"/>
                <w:szCs w:val="20"/>
              </w:rPr>
              <w:t>506,66</w:t>
            </w:r>
          </w:p>
        </w:tc>
        <w:tc>
          <w:tcPr>
            <w:tcW w:w="1274" w:type="dxa"/>
            <w:gridSpan w:val="3"/>
          </w:tcPr>
          <w:p w14:paraId="7297EC0D" w14:textId="51CC24FD"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4947906E" w14:textId="77777777" w:rsidR="00662FC9" w:rsidRPr="00F42CDB" w:rsidRDefault="00662FC9" w:rsidP="00662FC9">
            <w:pPr>
              <w:jc w:val="right"/>
              <w:rPr>
                <w:rFonts w:cstheme="minorHAnsi"/>
                <w:sz w:val="20"/>
                <w:szCs w:val="20"/>
              </w:rPr>
            </w:pPr>
          </w:p>
        </w:tc>
        <w:tc>
          <w:tcPr>
            <w:tcW w:w="1417" w:type="dxa"/>
          </w:tcPr>
          <w:p w14:paraId="597CA067" w14:textId="7462D040"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1D228475" w14:textId="36A8544A"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50404BB4" w14:textId="39F16725"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DA51201" w14:textId="0361E959"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50B0937E" w14:textId="32335277"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21172E87" w14:textId="5C97BFA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1160BE26" w14:textId="40335BE6"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476B67C2" w14:textId="5C4E43F9"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15A9CBA0" w14:textId="77777777" w:rsidTr="00D53713">
        <w:tc>
          <w:tcPr>
            <w:tcW w:w="419" w:type="dxa"/>
          </w:tcPr>
          <w:p w14:paraId="6B2A7F8B" w14:textId="77777777" w:rsidR="00662FC9" w:rsidRPr="00F42CDB" w:rsidRDefault="00662FC9" w:rsidP="00662FC9">
            <w:pPr>
              <w:jc w:val="both"/>
              <w:rPr>
                <w:rFonts w:cstheme="minorHAnsi"/>
                <w:sz w:val="20"/>
                <w:szCs w:val="20"/>
              </w:rPr>
            </w:pPr>
            <w:r w:rsidRPr="00F42CDB">
              <w:rPr>
                <w:rFonts w:cstheme="minorHAnsi"/>
                <w:sz w:val="20"/>
                <w:szCs w:val="20"/>
              </w:rPr>
              <w:t>6</w:t>
            </w:r>
          </w:p>
        </w:tc>
        <w:tc>
          <w:tcPr>
            <w:tcW w:w="1282" w:type="dxa"/>
          </w:tcPr>
          <w:p w14:paraId="586BDAA0"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Przedsiębiorstwa niefinansowe </w:t>
            </w:r>
          </w:p>
          <w:p w14:paraId="3CAF11F4" w14:textId="77777777" w:rsidR="00662FC9" w:rsidRPr="00F42CDB" w:rsidRDefault="00662FC9" w:rsidP="00662FC9">
            <w:pPr>
              <w:rPr>
                <w:sz w:val="18"/>
                <w:szCs w:val="20"/>
              </w:rPr>
            </w:pPr>
          </w:p>
        </w:tc>
        <w:tc>
          <w:tcPr>
            <w:tcW w:w="415" w:type="dxa"/>
          </w:tcPr>
          <w:p w14:paraId="235091B6" w14:textId="77777777" w:rsidR="00662FC9" w:rsidRPr="00ED417D" w:rsidRDefault="00662FC9" w:rsidP="00662FC9">
            <w:pPr>
              <w:jc w:val="right"/>
              <w:rPr>
                <w:rFonts w:cstheme="minorHAnsi"/>
                <w:color w:val="FF0000"/>
                <w:sz w:val="20"/>
                <w:szCs w:val="20"/>
              </w:rPr>
            </w:pPr>
          </w:p>
        </w:tc>
        <w:tc>
          <w:tcPr>
            <w:tcW w:w="1446" w:type="dxa"/>
          </w:tcPr>
          <w:p w14:paraId="64F2C550" w14:textId="249342C6" w:rsidR="00662FC9" w:rsidRPr="00F42CDB" w:rsidRDefault="00662FC9" w:rsidP="00662FC9">
            <w:pPr>
              <w:jc w:val="right"/>
              <w:rPr>
                <w:rFonts w:cstheme="minorHAnsi"/>
                <w:sz w:val="20"/>
                <w:szCs w:val="20"/>
              </w:rPr>
            </w:pPr>
            <w:r w:rsidRPr="00F42CDB">
              <w:rPr>
                <w:rFonts w:cstheme="minorHAnsi"/>
                <w:sz w:val="20"/>
                <w:szCs w:val="20"/>
              </w:rPr>
              <w:t>1</w:t>
            </w:r>
            <w:r w:rsidR="00F42CDB" w:rsidRPr="00F42CDB">
              <w:rPr>
                <w:rFonts w:cstheme="minorHAnsi"/>
                <w:sz w:val="20"/>
                <w:szCs w:val="20"/>
              </w:rPr>
              <w:t>1 298,02</w:t>
            </w:r>
          </w:p>
        </w:tc>
        <w:tc>
          <w:tcPr>
            <w:tcW w:w="1274" w:type="dxa"/>
            <w:gridSpan w:val="3"/>
          </w:tcPr>
          <w:p w14:paraId="508871DE" w14:textId="2A2F689E"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1D852964" w14:textId="77777777" w:rsidR="00662FC9" w:rsidRPr="00F42CDB" w:rsidRDefault="00662FC9" w:rsidP="00662FC9">
            <w:pPr>
              <w:jc w:val="right"/>
              <w:rPr>
                <w:rFonts w:cstheme="minorHAnsi"/>
                <w:sz w:val="20"/>
                <w:szCs w:val="20"/>
              </w:rPr>
            </w:pPr>
          </w:p>
        </w:tc>
        <w:tc>
          <w:tcPr>
            <w:tcW w:w="1417" w:type="dxa"/>
          </w:tcPr>
          <w:p w14:paraId="1891AFB5" w14:textId="0E4CD3AE"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280E6615" w14:textId="35C4EF9A"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4B6EF75D" w14:textId="7D0ED96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7B148C6A" w14:textId="3A10AC00" w:rsidR="00662FC9" w:rsidRPr="00F42CDB" w:rsidRDefault="00662FC9" w:rsidP="00662FC9">
            <w:pPr>
              <w:jc w:val="right"/>
              <w:rPr>
                <w:rFonts w:cstheme="minorHAnsi"/>
                <w:sz w:val="20"/>
                <w:szCs w:val="20"/>
              </w:rPr>
            </w:pPr>
            <w:r w:rsidRPr="00F42CDB">
              <w:rPr>
                <w:rFonts w:cstheme="minorHAnsi"/>
                <w:sz w:val="20"/>
                <w:szCs w:val="20"/>
              </w:rPr>
              <w:t>4</w:t>
            </w:r>
            <w:r w:rsidR="00F42CDB" w:rsidRPr="00F42CDB">
              <w:rPr>
                <w:rFonts w:cstheme="minorHAnsi"/>
                <w:sz w:val="20"/>
                <w:szCs w:val="20"/>
              </w:rPr>
              <w:t>41,39</w:t>
            </w:r>
          </w:p>
        </w:tc>
        <w:tc>
          <w:tcPr>
            <w:tcW w:w="993" w:type="dxa"/>
          </w:tcPr>
          <w:p w14:paraId="5E5BB258" w14:textId="0FE9BD48" w:rsidR="00662FC9" w:rsidRPr="00F42CDB" w:rsidRDefault="00F42CDB" w:rsidP="00662FC9">
            <w:pPr>
              <w:jc w:val="right"/>
              <w:rPr>
                <w:rFonts w:cstheme="minorHAnsi"/>
                <w:sz w:val="20"/>
                <w:szCs w:val="20"/>
              </w:rPr>
            </w:pPr>
            <w:r w:rsidRPr="00F42CDB">
              <w:rPr>
                <w:rFonts w:cstheme="minorHAnsi"/>
                <w:sz w:val="20"/>
                <w:szCs w:val="20"/>
              </w:rPr>
              <w:t>29,88</w:t>
            </w:r>
          </w:p>
        </w:tc>
        <w:tc>
          <w:tcPr>
            <w:tcW w:w="992" w:type="dxa"/>
          </w:tcPr>
          <w:p w14:paraId="7ED5D346" w14:textId="05AC4110" w:rsidR="00662FC9" w:rsidRPr="00A364D6" w:rsidRDefault="00662FC9" w:rsidP="00662FC9">
            <w:pPr>
              <w:jc w:val="right"/>
              <w:rPr>
                <w:rFonts w:cstheme="minorHAnsi"/>
                <w:sz w:val="20"/>
                <w:szCs w:val="20"/>
              </w:rPr>
            </w:pPr>
            <w:r w:rsidRPr="00A364D6">
              <w:rPr>
                <w:rFonts w:cstheme="minorHAnsi"/>
                <w:sz w:val="20"/>
                <w:szCs w:val="20"/>
              </w:rPr>
              <w:t>0,00</w:t>
            </w:r>
          </w:p>
        </w:tc>
        <w:tc>
          <w:tcPr>
            <w:tcW w:w="992" w:type="dxa"/>
          </w:tcPr>
          <w:p w14:paraId="6C17278D" w14:textId="3C48C799"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4F5547A1" w14:textId="4F1E08AE"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1A3E4D9C" w14:textId="77777777" w:rsidTr="00D53713">
        <w:tc>
          <w:tcPr>
            <w:tcW w:w="419" w:type="dxa"/>
          </w:tcPr>
          <w:p w14:paraId="2DF56E53" w14:textId="77777777" w:rsidR="00662FC9" w:rsidRPr="00F42CDB" w:rsidRDefault="00662FC9" w:rsidP="00662FC9">
            <w:pPr>
              <w:jc w:val="both"/>
              <w:rPr>
                <w:rFonts w:cstheme="minorHAnsi"/>
                <w:sz w:val="20"/>
                <w:szCs w:val="20"/>
              </w:rPr>
            </w:pPr>
            <w:r w:rsidRPr="00F42CDB">
              <w:rPr>
                <w:rFonts w:cstheme="minorHAnsi"/>
                <w:sz w:val="20"/>
                <w:szCs w:val="20"/>
              </w:rPr>
              <w:t>7</w:t>
            </w:r>
          </w:p>
        </w:tc>
        <w:tc>
          <w:tcPr>
            <w:tcW w:w="1282" w:type="dxa"/>
          </w:tcPr>
          <w:p w14:paraId="3B963EA5"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W tym MŚP </w:t>
            </w:r>
          </w:p>
          <w:p w14:paraId="0DEE0747" w14:textId="77777777" w:rsidR="00662FC9" w:rsidRPr="00F42CDB" w:rsidRDefault="00662FC9" w:rsidP="00662FC9">
            <w:pPr>
              <w:rPr>
                <w:sz w:val="18"/>
                <w:szCs w:val="20"/>
              </w:rPr>
            </w:pPr>
          </w:p>
        </w:tc>
        <w:tc>
          <w:tcPr>
            <w:tcW w:w="415" w:type="dxa"/>
          </w:tcPr>
          <w:p w14:paraId="7F99DF45" w14:textId="77777777" w:rsidR="00662FC9" w:rsidRPr="00ED417D" w:rsidRDefault="00662FC9" w:rsidP="00662FC9">
            <w:pPr>
              <w:jc w:val="right"/>
              <w:rPr>
                <w:rFonts w:cstheme="minorHAnsi"/>
                <w:color w:val="FF0000"/>
                <w:sz w:val="20"/>
                <w:szCs w:val="20"/>
              </w:rPr>
            </w:pPr>
          </w:p>
        </w:tc>
        <w:tc>
          <w:tcPr>
            <w:tcW w:w="1446" w:type="dxa"/>
          </w:tcPr>
          <w:p w14:paraId="4D1747E9" w14:textId="4F6661AA" w:rsidR="00662FC9" w:rsidRPr="00F42CDB" w:rsidRDefault="00662FC9" w:rsidP="00662FC9">
            <w:pPr>
              <w:jc w:val="right"/>
              <w:rPr>
                <w:rFonts w:cstheme="minorHAnsi"/>
                <w:sz w:val="20"/>
                <w:szCs w:val="20"/>
              </w:rPr>
            </w:pPr>
            <w:r w:rsidRPr="00F42CDB">
              <w:rPr>
                <w:rFonts w:cstheme="minorHAnsi"/>
                <w:sz w:val="20"/>
                <w:szCs w:val="20"/>
              </w:rPr>
              <w:t>1</w:t>
            </w:r>
            <w:r w:rsidR="00F42CDB" w:rsidRPr="00F42CDB">
              <w:rPr>
                <w:rFonts w:cstheme="minorHAnsi"/>
                <w:sz w:val="20"/>
                <w:szCs w:val="20"/>
              </w:rPr>
              <w:t>1 298,02</w:t>
            </w:r>
          </w:p>
        </w:tc>
        <w:tc>
          <w:tcPr>
            <w:tcW w:w="1274" w:type="dxa"/>
            <w:gridSpan w:val="3"/>
          </w:tcPr>
          <w:p w14:paraId="112E9A93" w14:textId="005A7398"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43ECC694" w14:textId="77777777" w:rsidR="00662FC9" w:rsidRPr="00ED417D" w:rsidRDefault="00662FC9" w:rsidP="00662FC9">
            <w:pPr>
              <w:jc w:val="right"/>
              <w:rPr>
                <w:rFonts w:cstheme="minorHAnsi"/>
                <w:color w:val="FF0000"/>
                <w:sz w:val="20"/>
                <w:szCs w:val="20"/>
              </w:rPr>
            </w:pPr>
          </w:p>
        </w:tc>
        <w:tc>
          <w:tcPr>
            <w:tcW w:w="1417" w:type="dxa"/>
          </w:tcPr>
          <w:p w14:paraId="6D8AF90D" w14:textId="1CF2AEB2"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07814709" w14:textId="5A6C4030"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058ED98C" w14:textId="3DB7DC0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43C88F4" w14:textId="27A8393D" w:rsidR="00662FC9" w:rsidRPr="00F42CDB" w:rsidRDefault="00662FC9" w:rsidP="00662FC9">
            <w:pPr>
              <w:jc w:val="right"/>
              <w:rPr>
                <w:rFonts w:cstheme="minorHAnsi"/>
                <w:sz w:val="20"/>
                <w:szCs w:val="20"/>
              </w:rPr>
            </w:pPr>
            <w:r w:rsidRPr="00F42CDB">
              <w:rPr>
                <w:rFonts w:cstheme="minorHAnsi"/>
                <w:sz w:val="20"/>
                <w:szCs w:val="20"/>
              </w:rPr>
              <w:t>4</w:t>
            </w:r>
            <w:r w:rsidR="00F42CDB" w:rsidRPr="00F42CDB">
              <w:rPr>
                <w:rFonts w:cstheme="minorHAnsi"/>
                <w:sz w:val="20"/>
                <w:szCs w:val="20"/>
              </w:rPr>
              <w:t>41,39</w:t>
            </w:r>
          </w:p>
        </w:tc>
        <w:tc>
          <w:tcPr>
            <w:tcW w:w="993" w:type="dxa"/>
          </w:tcPr>
          <w:p w14:paraId="315EE237" w14:textId="7D5E2473" w:rsidR="00662FC9" w:rsidRPr="00F42CDB" w:rsidRDefault="00F42CDB" w:rsidP="00662FC9">
            <w:pPr>
              <w:jc w:val="right"/>
              <w:rPr>
                <w:rFonts w:cstheme="minorHAnsi"/>
                <w:sz w:val="20"/>
                <w:szCs w:val="20"/>
              </w:rPr>
            </w:pPr>
            <w:r w:rsidRPr="00F42CDB">
              <w:rPr>
                <w:rFonts w:cstheme="minorHAnsi"/>
                <w:sz w:val="20"/>
                <w:szCs w:val="20"/>
              </w:rPr>
              <w:t>29,88</w:t>
            </w:r>
          </w:p>
        </w:tc>
        <w:tc>
          <w:tcPr>
            <w:tcW w:w="992" w:type="dxa"/>
          </w:tcPr>
          <w:p w14:paraId="20192F33" w14:textId="1A76BE69"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01347B7E" w14:textId="58737099" w:rsidR="00662FC9" w:rsidRPr="00A364D6" w:rsidRDefault="00662FC9" w:rsidP="00662FC9">
            <w:pPr>
              <w:jc w:val="right"/>
              <w:rPr>
                <w:rFonts w:cstheme="minorHAnsi"/>
                <w:sz w:val="20"/>
                <w:szCs w:val="20"/>
              </w:rPr>
            </w:pPr>
            <w:r w:rsidRPr="00A364D6">
              <w:rPr>
                <w:rFonts w:cstheme="minorHAnsi"/>
                <w:sz w:val="20"/>
                <w:szCs w:val="20"/>
              </w:rPr>
              <w:t>0,00</w:t>
            </w:r>
          </w:p>
        </w:tc>
        <w:tc>
          <w:tcPr>
            <w:tcW w:w="1427" w:type="dxa"/>
          </w:tcPr>
          <w:p w14:paraId="55723A95" w14:textId="5FB38F19"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0BA5DF8E" w14:textId="77777777" w:rsidTr="00D53713">
        <w:tc>
          <w:tcPr>
            <w:tcW w:w="419" w:type="dxa"/>
          </w:tcPr>
          <w:p w14:paraId="633412B1" w14:textId="77777777" w:rsidR="00662FC9" w:rsidRPr="00F42CDB" w:rsidRDefault="00662FC9" w:rsidP="00662FC9">
            <w:pPr>
              <w:jc w:val="both"/>
              <w:rPr>
                <w:rFonts w:cstheme="minorHAnsi"/>
                <w:sz w:val="20"/>
                <w:szCs w:val="20"/>
              </w:rPr>
            </w:pPr>
            <w:r w:rsidRPr="00F42CDB">
              <w:rPr>
                <w:rFonts w:cstheme="minorHAnsi"/>
                <w:sz w:val="20"/>
                <w:szCs w:val="20"/>
              </w:rPr>
              <w:t>8</w:t>
            </w:r>
          </w:p>
        </w:tc>
        <w:tc>
          <w:tcPr>
            <w:tcW w:w="1282" w:type="dxa"/>
          </w:tcPr>
          <w:p w14:paraId="5FBDF2E8"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Gospodarstwa domowe </w:t>
            </w:r>
          </w:p>
          <w:p w14:paraId="151C899F" w14:textId="77777777" w:rsidR="00662FC9" w:rsidRPr="00F42CDB" w:rsidRDefault="00662FC9" w:rsidP="00662FC9">
            <w:pPr>
              <w:rPr>
                <w:sz w:val="18"/>
                <w:szCs w:val="20"/>
              </w:rPr>
            </w:pPr>
          </w:p>
        </w:tc>
        <w:tc>
          <w:tcPr>
            <w:tcW w:w="415" w:type="dxa"/>
          </w:tcPr>
          <w:p w14:paraId="02D85C5A" w14:textId="77777777" w:rsidR="00662FC9" w:rsidRPr="00ED417D" w:rsidRDefault="00662FC9" w:rsidP="00662FC9">
            <w:pPr>
              <w:jc w:val="right"/>
              <w:rPr>
                <w:rFonts w:cstheme="minorHAnsi"/>
                <w:color w:val="FF0000"/>
                <w:sz w:val="20"/>
                <w:szCs w:val="20"/>
              </w:rPr>
            </w:pPr>
          </w:p>
        </w:tc>
        <w:tc>
          <w:tcPr>
            <w:tcW w:w="1446" w:type="dxa"/>
          </w:tcPr>
          <w:p w14:paraId="415B9607" w14:textId="509BB41E" w:rsidR="00662FC9" w:rsidRPr="00F42CDB" w:rsidRDefault="00662FC9" w:rsidP="00662FC9">
            <w:pPr>
              <w:jc w:val="right"/>
              <w:rPr>
                <w:rFonts w:cstheme="minorHAnsi"/>
                <w:sz w:val="20"/>
                <w:szCs w:val="20"/>
              </w:rPr>
            </w:pPr>
            <w:r w:rsidRPr="00F42CDB">
              <w:rPr>
                <w:rFonts w:cstheme="minorHAnsi"/>
                <w:sz w:val="20"/>
                <w:szCs w:val="20"/>
              </w:rPr>
              <w:t>50</w:t>
            </w:r>
            <w:r w:rsidR="00F42CDB" w:rsidRPr="00F42CDB">
              <w:rPr>
                <w:rFonts w:cstheme="minorHAnsi"/>
                <w:sz w:val="20"/>
                <w:szCs w:val="20"/>
              </w:rPr>
              <w:t> 015,58</w:t>
            </w:r>
          </w:p>
        </w:tc>
        <w:tc>
          <w:tcPr>
            <w:tcW w:w="1274" w:type="dxa"/>
            <w:gridSpan w:val="3"/>
          </w:tcPr>
          <w:p w14:paraId="71976043" w14:textId="5CE96FDA"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5754D363" w14:textId="77777777" w:rsidR="00662FC9" w:rsidRPr="00F42CDB" w:rsidRDefault="00662FC9" w:rsidP="00662FC9">
            <w:pPr>
              <w:jc w:val="right"/>
              <w:rPr>
                <w:rFonts w:cstheme="minorHAnsi"/>
                <w:sz w:val="20"/>
                <w:szCs w:val="20"/>
              </w:rPr>
            </w:pPr>
          </w:p>
        </w:tc>
        <w:tc>
          <w:tcPr>
            <w:tcW w:w="1417" w:type="dxa"/>
          </w:tcPr>
          <w:p w14:paraId="6C3E7047" w14:textId="4E56412C" w:rsidR="00662FC9" w:rsidRPr="00F42CDB" w:rsidRDefault="00F42CDB" w:rsidP="00662FC9">
            <w:pPr>
              <w:jc w:val="right"/>
              <w:rPr>
                <w:rFonts w:cstheme="minorHAnsi"/>
                <w:sz w:val="20"/>
                <w:szCs w:val="20"/>
              </w:rPr>
            </w:pPr>
            <w:r w:rsidRPr="00F42CDB">
              <w:rPr>
                <w:rFonts w:cstheme="minorHAnsi"/>
                <w:sz w:val="20"/>
                <w:szCs w:val="20"/>
              </w:rPr>
              <w:t>801,57</w:t>
            </w:r>
          </w:p>
        </w:tc>
        <w:tc>
          <w:tcPr>
            <w:tcW w:w="843" w:type="dxa"/>
          </w:tcPr>
          <w:p w14:paraId="3266428A" w14:textId="4A49BBC2" w:rsidR="00662FC9" w:rsidRPr="00F42CDB" w:rsidRDefault="00F42CDB" w:rsidP="00662FC9">
            <w:pPr>
              <w:jc w:val="right"/>
              <w:rPr>
                <w:rFonts w:cstheme="minorHAnsi"/>
                <w:sz w:val="20"/>
                <w:szCs w:val="20"/>
              </w:rPr>
            </w:pPr>
            <w:r w:rsidRPr="00F42CDB">
              <w:rPr>
                <w:rFonts w:cstheme="minorHAnsi"/>
                <w:sz w:val="20"/>
                <w:szCs w:val="20"/>
              </w:rPr>
              <w:t>0,00</w:t>
            </w:r>
          </w:p>
        </w:tc>
        <w:tc>
          <w:tcPr>
            <w:tcW w:w="1000" w:type="dxa"/>
            <w:gridSpan w:val="2"/>
          </w:tcPr>
          <w:p w14:paraId="18136D98" w14:textId="3582DEA2" w:rsidR="00662FC9" w:rsidRPr="00F42CDB" w:rsidRDefault="00F42CDB" w:rsidP="00662FC9">
            <w:pPr>
              <w:jc w:val="right"/>
              <w:rPr>
                <w:rFonts w:cstheme="minorHAnsi"/>
                <w:sz w:val="20"/>
                <w:szCs w:val="20"/>
              </w:rPr>
            </w:pPr>
            <w:r w:rsidRPr="00F42CDB">
              <w:rPr>
                <w:rFonts w:cstheme="minorHAnsi"/>
                <w:sz w:val="20"/>
                <w:szCs w:val="20"/>
              </w:rPr>
              <w:t>67,06</w:t>
            </w:r>
          </w:p>
        </w:tc>
        <w:tc>
          <w:tcPr>
            <w:tcW w:w="992" w:type="dxa"/>
          </w:tcPr>
          <w:p w14:paraId="3C60224E" w14:textId="70402A13" w:rsidR="00662FC9" w:rsidRPr="00F42CDB" w:rsidRDefault="00F42CDB" w:rsidP="00662FC9">
            <w:pPr>
              <w:jc w:val="right"/>
              <w:rPr>
                <w:rFonts w:cstheme="minorHAnsi"/>
                <w:sz w:val="20"/>
                <w:szCs w:val="20"/>
              </w:rPr>
            </w:pPr>
            <w:r w:rsidRPr="00F42CDB">
              <w:rPr>
                <w:rFonts w:cstheme="minorHAnsi"/>
                <w:sz w:val="20"/>
                <w:szCs w:val="20"/>
              </w:rPr>
              <w:t>506,19</w:t>
            </w:r>
          </w:p>
        </w:tc>
        <w:tc>
          <w:tcPr>
            <w:tcW w:w="993" w:type="dxa"/>
          </w:tcPr>
          <w:p w14:paraId="4F10EC1E" w14:textId="140CDDF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73F164F" w14:textId="1305FD8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2A47C59E" w14:textId="67DC8C2B"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1E750DFA" w14:textId="12FA4330" w:rsidR="00662FC9" w:rsidRPr="00A364D6" w:rsidRDefault="00662FC9" w:rsidP="00662FC9">
            <w:pPr>
              <w:jc w:val="right"/>
              <w:rPr>
                <w:rFonts w:cstheme="minorHAnsi"/>
                <w:sz w:val="20"/>
                <w:szCs w:val="20"/>
              </w:rPr>
            </w:pPr>
            <w:r w:rsidRPr="00A364D6">
              <w:rPr>
                <w:rFonts w:cstheme="minorHAnsi"/>
                <w:sz w:val="20"/>
                <w:szCs w:val="20"/>
              </w:rPr>
              <w:t>0,00</w:t>
            </w:r>
          </w:p>
        </w:tc>
      </w:tr>
      <w:tr w:rsidR="00ED417D" w:rsidRPr="00ED417D" w14:paraId="5A73F3E9" w14:textId="77777777" w:rsidTr="00D53713">
        <w:tc>
          <w:tcPr>
            <w:tcW w:w="419" w:type="dxa"/>
          </w:tcPr>
          <w:p w14:paraId="757DF2BF" w14:textId="77777777" w:rsidR="00662FC9" w:rsidRPr="00F42CDB" w:rsidRDefault="00662FC9" w:rsidP="00662FC9">
            <w:pPr>
              <w:jc w:val="both"/>
              <w:rPr>
                <w:rFonts w:cstheme="minorHAnsi"/>
                <w:sz w:val="20"/>
                <w:szCs w:val="20"/>
              </w:rPr>
            </w:pPr>
            <w:r w:rsidRPr="00F42CDB">
              <w:rPr>
                <w:rFonts w:cstheme="minorHAnsi"/>
                <w:sz w:val="20"/>
                <w:szCs w:val="20"/>
              </w:rPr>
              <w:lastRenderedPageBreak/>
              <w:t>9</w:t>
            </w:r>
          </w:p>
        </w:tc>
        <w:tc>
          <w:tcPr>
            <w:tcW w:w="1282" w:type="dxa"/>
          </w:tcPr>
          <w:p w14:paraId="7BD67102" w14:textId="77777777" w:rsidR="00662FC9" w:rsidRPr="00F42CDB" w:rsidRDefault="00662FC9" w:rsidP="00662FC9">
            <w:pPr>
              <w:rPr>
                <w:b/>
                <w:sz w:val="18"/>
                <w:szCs w:val="20"/>
              </w:rPr>
            </w:pPr>
            <w:r w:rsidRPr="00F42CDB">
              <w:rPr>
                <w:b/>
                <w:sz w:val="18"/>
                <w:szCs w:val="20"/>
              </w:rPr>
              <w:t>Dłużne papiery wartościowe</w:t>
            </w:r>
          </w:p>
        </w:tc>
        <w:tc>
          <w:tcPr>
            <w:tcW w:w="415" w:type="dxa"/>
          </w:tcPr>
          <w:p w14:paraId="6CBA6205" w14:textId="77777777" w:rsidR="00662FC9" w:rsidRPr="00F42CDB" w:rsidRDefault="00662FC9" w:rsidP="00662FC9">
            <w:pPr>
              <w:jc w:val="both"/>
              <w:rPr>
                <w:rFonts w:cstheme="minorHAnsi"/>
                <w:sz w:val="20"/>
                <w:szCs w:val="20"/>
              </w:rPr>
            </w:pPr>
          </w:p>
        </w:tc>
        <w:tc>
          <w:tcPr>
            <w:tcW w:w="1446" w:type="dxa"/>
          </w:tcPr>
          <w:p w14:paraId="454F433E" w14:textId="0D894FB9" w:rsidR="00662FC9" w:rsidRPr="00F42CDB" w:rsidRDefault="00F42CDB" w:rsidP="00662FC9">
            <w:pPr>
              <w:jc w:val="right"/>
              <w:rPr>
                <w:rFonts w:cstheme="minorHAnsi"/>
                <w:b/>
                <w:bCs/>
                <w:sz w:val="20"/>
                <w:szCs w:val="20"/>
              </w:rPr>
            </w:pPr>
            <w:r w:rsidRPr="00F42CDB">
              <w:rPr>
                <w:rFonts w:cstheme="minorHAnsi"/>
                <w:b/>
                <w:bCs/>
                <w:sz w:val="20"/>
                <w:szCs w:val="20"/>
              </w:rPr>
              <w:t>17 474,56</w:t>
            </w:r>
          </w:p>
        </w:tc>
        <w:tc>
          <w:tcPr>
            <w:tcW w:w="1274" w:type="dxa"/>
            <w:gridSpan w:val="3"/>
          </w:tcPr>
          <w:p w14:paraId="0CD36AE2" w14:textId="74383680"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25B80CE9" w14:textId="77777777" w:rsidR="00662FC9" w:rsidRPr="00F42CDB" w:rsidRDefault="00662FC9" w:rsidP="00662FC9">
            <w:pPr>
              <w:jc w:val="right"/>
              <w:rPr>
                <w:rFonts w:cstheme="minorHAnsi"/>
                <w:sz w:val="20"/>
                <w:szCs w:val="20"/>
              </w:rPr>
            </w:pPr>
          </w:p>
        </w:tc>
        <w:tc>
          <w:tcPr>
            <w:tcW w:w="1417" w:type="dxa"/>
          </w:tcPr>
          <w:p w14:paraId="20D411F3" w14:textId="58B33615"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02C15FD0" w14:textId="6F64F9CF"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4F855B72" w14:textId="4B6CA7D7"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A11F6B0" w14:textId="1CB25339"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2E31995A" w14:textId="34861AB8"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3FD4DC40" w14:textId="6C4D3B2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641252D2" w14:textId="0CB1107C"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2E003EBF" w14:textId="4BB2698E"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5F02D533" w14:textId="77777777" w:rsidTr="00D53713">
        <w:tc>
          <w:tcPr>
            <w:tcW w:w="419" w:type="dxa"/>
          </w:tcPr>
          <w:p w14:paraId="2D611946" w14:textId="77777777" w:rsidR="00662FC9" w:rsidRPr="00F42CDB" w:rsidRDefault="00662FC9" w:rsidP="00662FC9">
            <w:pPr>
              <w:jc w:val="both"/>
              <w:rPr>
                <w:rFonts w:cstheme="minorHAnsi"/>
                <w:sz w:val="20"/>
                <w:szCs w:val="20"/>
              </w:rPr>
            </w:pPr>
            <w:r w:rsidRPr="00F42CDB">
              <w:rPr>
                <w:rFonts w:cstheme="minorHAnsi"/>
                <w:sz w:val="20"/>
                <w:szCs w:val="20"/>
              </w:rPr>
              <w:t>10</w:t>
            </w:r>
          </w:p>
        </w:tc>
        <w:tc>
          <w:tcPr>
            <w:tcW w:w="1282" w:type="dxa"/>
          </w:tcPr>
          <w:p w14:paraId="01134DED"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Banki centralne </w:t>
            </w:r>
          </w:p>
          <w:p w14:paraId="5CA1391D" w14:textId="77777777" w:rsidR="00662FC9" w:rsidRPr="00F42CDB" w:rsidRDefault="00662FC9" w:rsidP="00662FC9">
            <w:pPr>
              <w:rPr>
                <w:sz w:val="18"/>
                <w:szCs w:val="20"/>
              </w:rPr>
            </w:pPr>
          </w:p>
        </w:tc>
        <w:tc>
          <w:tcPr>
            <w:tcW w:w="415" w:type="dxa"/>
          </w:tcPr>
          <w:p w14:paraId="3018FA55" w14:textId="77777777" w:rsidR="00662FC9" w:rsidRPr="00F42CDB" w:rsidRDefault="00662FC9" w:rsidP="00662FC9">
            <w:pPr>
              <w:jc w:val="both"/>
              <w:rPr>
                <w:rFonts w:cstheme="minorHAnsi"/>
                <w:sz w:val="20"/>
                <w:szCs w:val="20"/>
              </w:rPr>
            </w:pPr>
          </w:p>
        </w:tc>
        <w:tc>
          <w:tcPr>
            <w:tcW w:w="1446" w:type="dxa"/>
          </w:tcPr>
          <w:p w14:paraId="49486A4B" w14:textId="1A67C621" w:rsidR="00662FC9" w:rsidRPr="00F42CDB" w:rsidRDefault="00F42CDB" w:rsidP="00662FC9">
            <w:pPr>
              <w:jc w:val="right"/>
              <w:rPr>
                <w:rFonts w:cstheme="minorHAnsi"/>
                <w:sz w:val="20"/>
                <w:szCs w:val="20"/>
              </w:rPr>
            </w:pPr>
            <w:r w:rsidRPr="00F42CDB">
              <w:rPr>
                <w:rFonts w:cstheme="minorHAnsi"/>
                <w:sz w:val="20"/>
                <w:szCs w:val="20"/>
              </w:rPr>
              <w:t>16 999,71</w:t>
            </w:r>
          </w:p>
        </w:tc>
        <w:tc>
          <w:tcPr>
            <w:tcW w:w="1274" w:type="dxa"/>
            <w:gridSpan w:val="3"/>
          </w:tcPr>
          <w:p w14:paraId="7A2289CC" w14:textId="73068FBD"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1A0D4D0D" w14:textId="77777777" w:rsidR="00662FC9" w:rsidRPr="00F42CDB" w:rsidRDefault="00662FC9" w:rsidP="00662FC9">
            <w:pPr>
              <w:jc w:val="right"/>
              <w:rPr>
                <w:rFonts w:cstheme="minorHAnsi"/>
                <w:sz w:val="20"/>
                <w:szCs w:val="20"/>
              </w:rPr>
            </w:pPr>
          </w:p>
        </w:tc>
        <w:tc>
          <w:tcPr>
            <w:tcW w:w="1417" w:type="dxa"/>
          </w:tcPr>
          <w:p w14:paraId="0B519B9B" w14:textId="31AC04B2"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54CB3F68" w14:textId="6AC155BD"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144C582B" w14:textId="226FBAD9"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FDF25DD" w14:textId="002F7E96"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3EBC6AA0" w14:textId="17BBC92E"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D533FB5" w14:textId="69E42468"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DBFFCD0" w14:textId="7FD20E2E"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29528D48" w14:textId="168855F0"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5FDA40BE" w14:textId="77777777" w:rsidTr="00D53713">
        <w:tc>
          <w:tcPr>
            <w:tcW w:w="419" w:type="dxa"/>
          </w:tcPr>
          <w:p w14:paraId="0ABA01C3" w14:textId="77777777" w:rsidR="00662FC9" w:rsidRPr="00F42CDB" w:rsidRDefault="00662FC9" w:rsidP="00662FC9">
            <w:pPr>
              <w:jc w:val="both"/>
              <w:rPr>
                <w:rFonts w:cstheme="minorHAnsi"/>
                <w:sz w:val="20"/>
                <w:szCs w:val="20"/>
              </w:rPr>
            </w:pPr>
            <w:r w:rsidRPr="00F42CDB">
              <w:rPr>
                <w:rFonts w:cstheme="minorHAnsi"/>
                <w:sz w:val="20"/>
                <w:szCs w:val="20"/>
              </w:rPr>
              <w:t>11</w:t>
            </w:r>
          </w:p>
        </w:tc>
        <w:tc>
          <w:tcPr>
            <w:tcW w:w="1282" w:type="dxa"/>
          </w:tcPr>
          <w:p w14:paraId="1CE24F76"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rządowe </w:t>
            </w:r>
          </w:p>
          <w:p w14:paraId="310F2F7E" w14:textId="77777777" w:rsidR="00662FC9" w:rsidRPr="00F42CDB" w:rsidRDefault="00662FC9" w:rsidP="00662FC9">
            <w:pPr>
              <w:rPr>
                <w:sz w:val="18"/>
                <w:szCs w:val="20"/>
              </w:rPr>
            </w:pPr>
          </w:p>
        </w:tc>
        <w:tc>
          <w:tcPr>
            <w:tcW w:w="415" w:type="dxa"/>
          </w:tcPr>
          <w:p w14:paraId="2E9DD582" w14:textId="77777777" w:rsidR="00662FC9" w:rsidRPr="00F42CDB" w:rsidRDefault="00662FC9" w:rsidP="00662FC9">
            <w:pPr>
              <w:jc w:val="both"/>
              <w:rPr>
                <w:rFonts w:cstheme="minorHAnsi"/>
                <w:sz w:val="20"/>
                <w:szCs w:val="20"/>
              </w:rPr>
            </w:pPr>
          </w:p>
        </w:tc>
        <w:tc>
          <w:tcPr>
            <w:tcW w:w="1446" w:type="dxa"/>
          </w:tcPr>
          <w:p w14:paraId="7814A2CE" w14:textId="38CE6912"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tcPr>
          <w:p w14:paraId="4AB6BD16" w14:textId="65A353B3"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5F80BF65" w14:textId="77777777" w:rsidR="00662FC9" w:rsidRPr="00F42CDB" w:rsidRDefault="00662FC9" w:rsidP="00662FC9">
            <w:pPr>
              <w:jc w:val="right"/>
              <w:rPr>
                <w:rFonts w:cstheme="minorHAnsi"/>
                <w:sz w:val="20"/>
                <w:szCs w:val="20"/>
              </w:rPr>
            </w:pPr>
          </w:p>
        </w:tc>
        <w:tc>
          <w:tcPr>
            <w:tcW w:w="1417" w:type="dxa"/>
          </w:tcPr>
          <w:p w14:paraId="693B6DB1" w14:textId="0387F9EE"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27EBFDA3" w14:textId="27D79379"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236E23FE" w14:textId="335FE535"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53678F94" w14:textId="391801E8"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46FC0578" w14:textId="1A21B65D"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D6AAB3A" w14:textId="70559BBF"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1037B9B9" w14:textId="3876F033"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44DCA607" w14:textId="07559A81"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1D1AFE5E" w14:textId="77777777" w:rsidTr="00D53713">
        <w:tc>
          <w:tcPr>
            <w:tcW w:w="419" w:type="dxa"/>
          </w:tcPr>
          <w:p w14:paraId="52F2AFEF" w14:textId="77777777" w:rsidR="00662FC9" w:rsidRPr="00F42CDB" w:rsidRDefault="00662FC9" w:rsidP="00662FC9">
            <w:pPr>
              <w:jc w:val="both"/>
              <w:rPr>
                <w:rFonts w:cstheme="minorHAnsi"/>
                <w:sz w:val="20"/>
                <w:szCs w:val="20"/>
              </w:rPr>
            </w:pPr>
            <w:r w:rsidRPr="00F42CDB">
              <w:rPr>
                <w:rFonts w:cstheme="minorHAnsi"/>
                <w:sz w:val="20"/>
                <w:szCs w:val="20"/>
              </w:rPr>
              <w:t>12</w:t>
            </w:r>
          </w:p>
        </w:tc>
        <w:tc>
          <w:tcPr>
            <w:tcW w:w="1282" w:type="dxa"/>
          </w:tcPr>
          <w:p w14:paraId="435447C7"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kredytowe </w:t>
            </w:r>
          </w:p>
          <w:p w14:paraId="135282F9" w14:textId="77777777" w:rsidR="00662FC9" w:rsidRPr="00F42CDB" w:rsidRDefault="00662FC9" w:rsidP="00662FC9">
            <w:pPr>
              <w:rPr>
                <w:sz w:val="18"/>
                <w:szCs w:val="20"/>
              </w:rPr>
            </w:pPr>
          </w:p>
        </w:tc>
        <w:tc>
          <w:tcPr>
            <w:tcW w:w="415" w:type="dxa"/>
          </w:tcPr>
          <w:p w14:paraId="5F775097" w14:textId="77777777" w:rsidR="00662FC9" w:rsidRPr="00F42CDB" w:rsidRDefault="00662FC9" w:rsidP="00662FC9">
            <w:pPr>
              <w:jc w:val="both"/>
              <w:rPr>
                <w:rFonts w:cstheme="minorHAnsi"/>
                <w:sz w:val="20"/>
                <w:szCs w:val="20"/>
              </w:rPr>
            </w:pPr>
          </w:p>
        </w:tc>
        <w:tc>
          <w:tcPr>
            <w:tcW w:w="1446" w:type="dxa"/>
          </w:tcPr>
          <w:p w14:paraId="7F5B8B4A" w14:textId="635B1CAD" w:rsidR="00662FC9" w:rsidRPr="00F42CDB" w:rsidRDefault="00662FC9" w:rsidP="00662FC9">
            <w:pPr>
              <w:jc w:val="right"/>
              <w:rPr>
                <w:rFonts w:cstheme="minorHAnsi"/>
                <w:sz w:val="20"/>
                <w:szCs w:val="20"/>
              </w:rPr>
            </w:pPr>
            <w:r w:rsidRPr="00F42CDB">
              <w:rPr>
                <w:rFonts w:cstheme="minorHAnsi"/>
                <w:sz w:val="20"/>
                <w:szCs w:val="20"/>
              </w:rPr>
              <w:t>47</w:t>
            </w:r>
            <w:r w:rsidR="00F42CDB" w:rsidRPr="00F42CDB">
              <w:rPr>
                <w:rFonts w:cstheme="minorHAnsi"/>
                <w:sz w:val="20"/>
                <w:szCs w:val="20"/>
              </w:rPr>
              <w:t>4,84</w:t>
            </w:r>
          </w:p>
        </w:tc>
        <w:tc>
          <w:tcPr>
            <w:tcW w:w="1274" w:type="dxa"/>
            <w:gridSpan w:val="3"/>
          </w:tcPr>
          <w:p w14:paraId="75FB9F4C" w14:textId="1C3B9247"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511B2BE8" w14:textId="77777777" w:rsidR="00662FC9" w:rsidRPr="00F42CDB" w:rsidRDefault="00662FC9" w:rsidP="00662FC9">
            <w:pPr>
              <w:jc w:val="right"/>
              <w:rPr>
                <w:rFonts w:cstheme="minorHAnsi"/>
                <w:sz w:val="20"/>
                <w:szCs w:val="20"/>
              </w:rPr>
            </w:pPr>
          </w:p>
        </w:tc>
        <w:tc>
          <w:tcPr>
            <w:tcW w:w="1417" w:type="dxa"/>
          </w:tcPr>
          <w:p w14:paraId="1A704285" w14:textId="6E75405E"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Pr>
          <w:p w14:paraId="5FB4969F" w14:textId="7CAA25D7"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Pr>
          <w:p w14:paraId="2E033558" w14:textId="00E8FBF2"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4C2233CE" w14:textId="690DEAB6"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Pr>
          <w:p w14:paraId="572A4093" w14:textId="1A5DE0A9"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0AFC1FF9" w14:textId="1F44D2C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Pr>
          <w:p w14:paraId="05633B66" w14:textId="45E9A72C"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Pr>
          <w:p w14:paraId="4AEA6469" w14:textId="7A14F0D2"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1262E2FE" w14:textId="77777777" w:rsidTr="00D53713">
        <w:tc>
          <w:tcPr>
            <w:tcW w:w="419" w:type="dxa"/>
          </w:tcPr>
          <w:p w14:paraId="2F9D170B" w14:textId="77777777" w:rsidR="00662FC9" w:rsidRPr="00F42CDB" w:rsidRDefault="00662FC9" w:rsidP="00662FC9">
            <w:pPr>
              <w:jc w:val="both"/>
              <w:rPr>
                <w:rFonts w:cstheme="minorHAnsi"/>
                <w:sz w:val="20"/>
                <w:szCs w:val="20"/>
              </w:rPr>
            </w:pPr>
            <w:r w:rsidRPr="00F42CDB">
              <w:rPr>
                <w:rFonts w:cstheme="minorHAnsi"/>
                <w:sz w:val="20"/>
                <w:szCs w:val="20"/>
              </w:rPr>
              <w:t>13</w:t>
            </w:r>
          </w:p>
        </w:tc>
        <w:tc>
          <w:tcPr>
            <w:tcW w:w="1282" w:type="dxa"/>
          </w:tcPr>
          <w:p w14:paraId="3889D1FF"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Inne instytucje finansowe </w:t>
            </w:r>
          </w:p>
          <w:p w14:paraId="1A49E4AD" w14:textId="77777777" w:rsidR="00662FC9" w:rsidRPr="00F42CDB" w:rsidRDefault="00662FC9" w:rsidP="00662FC9">
            <w:pPr>
              <w:rPr>
                <w:sz w:val="18"/>
                <w:szCs w:val="20"/>
              </w:rPr>
            </w:pPr>
          </w:p>
        </w:tc>
        <w:tc>
          <w:tcPr>
            <w:tcW w:w="415" w:type="dxa"/>
          </w:tcPr>
          <w:p w14:paraId="1FD68DCD" w14:textId="77777777" w:rsidR="00662FC9" w:rsidRPr="00F42CDB" w:rsidRDefault="00662FC9" w:rsidP="00662FC9">
            <w:pPr>
              <w:jc w:val="both"/>
              <w:rPr>
                <w:rFonts w:cstheme="minorHAnsi"/>
                <w:sz w:val="20"/>
                <w:szCs w:val="20"/>
              </w:rPr>
            </w:pPr>
          </w:p>
        </w:tc>
        <w:tc>
          <w:tcPr>
            <w:tcW w:w="1446" w:type="dxa"/>
          </w:tcPr>
          <w:p w14:paraId="050AB9DB" w14:textId="4CC6C25E"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auto"/>
          </w:tcPr>
          <w:p w14:paraId="0788CBDF" w14:textId="6673B003"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Pr>
          <w:p w14:paraId="2601DE2A" w14:textId="77777777" w:rsidR="00662FC9" w:rsidRPr="00F42CDB" w:rsidRDefault="00662FC9" w:rsidP="00662FC9">
            <w:pPr>
              <w:jc w:val="right"/>
              <w:rPr>
                <w:rFonts w:cstheme="minorHAnsi"/>
                <w:sz w:val="20"/>
                <w:szCs w:val="20"/>
              </w:rPr>
            </w:pPr>
          </w:p>
        </w:tc>
        <w:tc>
          <w:tcPr>
            <w:tcW w:w="1417" w:type="dxa"/>
            <w:shd w:val="clear" w:color="auto" w:fill="auto"/>
          </w:tcPr>
          <w:p w14:paraId="30B4B4EB" w14:textId="279D38AE"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auto"/>
          </w:tcPr>
          <w:p w14:paraId="1F8D7609" w14:textId="070D16AF"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auto"/>
          </w:tcPr>
          <w:p w14:paraId="10F608DF" w14:textId="051636A7"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auto"/>
          </w:tcPr>
          <w:p w14:paraId="49BEFF12" w14:textId="55F230A4"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auto"/>
          </w:tcPr>
          <w:p w14:paraId="3F4C27E3" w14:textId="1E8062D4"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auto"/>
          </w:tcPr>
          <w:p w14:paraId="67A2FAD7" w14:textId="2E577882"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auto"/>
          </w:tcPr>
          <w:p w14:paraId="727DFFF7" w14:textId="2FBF2A3D"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auto"/>
          </w:tcPr>
          <w:p w14:paraId="66D19C37" w14:textId="10679DB4"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15F0D9AA" w14:textId="77777777" w:rsidTr="00D53713">
        <w:tc>
          <w:tcPr>
            <w:tcW w:w="419" w:type="dxa"/>
          </w:tcPr>
          <w:p w14:paraId="76AAEB29" w14:textId="77777777" w:rsidR="00662FC9" w:rsidRPr="00F42CDB" w:rsidRDefault="00662FC9" w:rsidP="00662FC9">
            <w:pPr>
              <w:jc w:val="both"/>
              <w:rPr>
                <w:rFonts w:cstheme="minorHAnsi"/>
                <w:sz w:val="20"/>
                <w:szCs w:val="20"/>
              </w:rPr>
            </w:pPr>
            <w:r w:rsidRPr="00F42CDB">
              <w:rPr>
                <w:rFonts w:cstheme="minorHAnsi"/>
                <w:sz w:val="20"/>
                <w:szCs w:val="20"/>
              </w:rPr>
              <w:t>14</w:t>
            </w:r>
          </w:p>
        </w:tc>
        <w:tc>
          <w:tcPr>
            <w:tcW w:w="1282" w:type="dxa"/>
          </w:tcPr>
          <w:p w14:paraId="160C6947"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Przedsiębiorstwa niefinansowe </w:t>
            </w:r>
          </w:p>
          <w:p w14:paraId="752F7320" w14:textId="77777777" w:rsidR="00662FC9" w:rsidRPr="00F42CDB" w:rsidRDefault="00662FC9" w:rsidP="00662FC9">
            <w:pPr>
              <w:rPr>
                <w:sz w:val="18"/>
                <w:szCs w:val="20"/>
              </w:rPr>
            </w:pPr>
          </w:p>
        </w:tc>
        <w:tc>
          <w:tcPr>
            <w:tcW w:w="415" w:type="dxa"/>
          </w:tcPr>
          <w:p w14:paraId="38608484" w14:textId="77777777" w:rsidR="00662FC9" w:rsidRPr="00F42CDB" w:rsidRDefault="00662FC9" w:rsidP="00662FC9">
            <w:pPr>
              <w:jc w:val="both"/>
              <w:rPr>
                <w:rFonts w:cstheme="minorHAnsi"/>
                <w:sz w:val="20"/>
                <w:szCs w:val="20"/>
              </w:rPr>
            </w:pPr>
          </w:p>
        </w:tc>
        <w:tc>
          <w:tcPr>
            <w:tcW w:w="1446" w:type="dxa"/>
          </w:tcPr>
          <w:p w14:paraId="69C89963" w14:textId="209EC65D"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tcBorders>
              <w:bottom w:val="single" w:sz="4" w:space="0" w:color="auto"/>
            </w:tcBorders>
            <w:shd w:val="clear" w:color="auto" w:fill="auto"/>
          </w:tcPr>
          <w:p w14:paraId="4FB15836" w14:textId="5EF239B4"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tcBorders>
              <w:bottom w:val="single" w:sz="4" w:space="0" w:color="auto"/>
            </w:tcBorders>
          </w:tcPr>
          <w:p w14:paraId="6191E303" w14:textId="77777777" w:rsidR="00662FC9" w:rsidRPr="00F42CDB" w:rsidRDefault="00662FC9" w:rsidP="00662FC9">
            <w:pPr>
              <w:jc w:val="right"/>
              <w:rPr>
                <w:rFonts w:cstheme="minorHAnsi"/>
                <w:sz w:val="20"/>
                <w:szCs w:val="20"/>
              </w:rPr>
            </w:pPr>
          </w:p>
        </w:tc>
        <w:tc>
          <w:tcPr>
            <w:tcW w:w="1417" w:type="dxa"/>
            <w:tcBorders>
              <w:bottom w:val="single" w:sz="4" w:space="0" w:color="auto"/>
            </w:tcBorders>
            <w:shd w:val="clear" w:color="auto" w:fill="auto"/>
          </w:tcPr>
          <w:p w14:paraId="34BECA4C" w14:textId="6D9915F5"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tcBorders>
              <w:bottom w:val="single" w:sz="4" w:space="0" w:color="auto"/>
            </w:tcBorders>
            <w:shd w:val="clear" w:color="auto" w:fill="auto"/>
          </w:tcPr>
          <w:p w14:paraId="1663A825" w14:textId="4FA48F1D"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tcBorders>
              <w:bottom w:val="single" w:sz="4" w:space="0" w:color="auto"/>
            </w:tcBorders>
            <w:shd w:val="clear" w:color="auto" w:fill="auto"/>
          </w:tcPr>
          <w:p w14:paraId="08364173" w14:textId="403B5FF0"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Borders>
              <w:bottom w:val="single" w:sz="4" w:space="0" w:color="auto"/>
            </w:tcBorders>
            <w:shd w:val="clear" w:color="auto" w:fill="auto"/>
          </w:tcPr>
          <w:p w14:paraId="2479A07C" w14:textId="4740EC54"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tcBorders>
              <w:bottom w:val="single" w:sz="4" w:space="0" w:color="auto"/>
            </w:tcBorders>
            <w:shd w:val="clear" w:color="auto" w:fill="auto"/>
          </w:tcPr>
          <w:p w14:paraId="690E885D" w14:textId="3E5C11A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Borders>
              <w:bottom w:val="single" w:sz="4" w:space="0" w:color="auto"/>
            </w:tcBorders>
            <w:shd w:val="clear" w:color="auto" w:fill="auto"/>
          </w:tcPr>
          <w:p w14:paraId="6D925763" w14:textId="6CB6E6FE"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tcBorders>
              <w:bottom w:val="single" w:sz="4" w:space="0" w:color="auto"/>
            </w:tcBorders>
            <w:shd w:val="clear" w:color="auto" w:fill="auto"/>
          </w:tcPr>
          <w:p w14:paraId="222F579E" w14:textId="53C4252D"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tcBorders>
              <w:bottom w:val="single" w:sz="4" w:space="0" w:color="auto"/>
            </w:tcBorders>
            <w:shd w:val="clear" w:color="auto" w:fill="auto"/>
          </w:tcPr>
          <w:p w14:paraId="0D411C8C" w14:textId="7219CE24"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788C014D" w14:textId="77777777" w:rsidTr="00D53713">
        <w:tc>
          <w:tcPr>
            <w:tcW w:w="419" w:type="dxa"/>
          </w:tcPr>
          <w:p w14:paraId="53DB0814" w14:textId="77777777" w:rsidR="00662FC9" w:rsidRPr="00F42CDB" w:rsidRDefault="00662FC9" w:rsidP="00662FC9">
            <w:pPr>
              <w:jc w:val="both"/>
              <w:rPr>
                <w:rFonts w:cstheme="minorHAnsi"/>
                <w:sz w:val="20"/>
                <w:szCs w:val="20"/>
              </w:rPr>
            </w:pPr>
            <w:r w:rsidRPr="00F42CDB">
              <w:rPr>
                <w:rFonts w:cstheme="minorHAnsi"/>
                <w:sz w:val="20"/>
                <w:szCs w:val="20"/>
              </w:rPr>
              <w:t>15</w:t>
            </w:r>
          </w:p>
        </w:tc>
        <w:tc>
          <w:tcPr>
            <w:tcW w:w="1282" w:type="dxa"/>
          </w:tcPr>
          <w:p w14:paraId="14D1BF62" w14:textId="77777777" w:rsidR="00662FC9" w:rsidRPr="00F42CDB" w:rsidRDefault="00662FC9" w:rsidP="00662FC9">
            <w:pPr>
              <w:pStyle w:val="Default"/>
              <w:rPr>
                <w:rFonts w:ascii="Times New Roman" w:hAnsi="Times New Roman" w:cs="Times New Roman"/>
                <w:b/>
                <w:color w:val="auto"/>
                <w:sz w:val="18"/>
                <w:szCs w:val="20"/>
              </w:rPr>
            </w:pPr>
            <w:r w:rsidRPr="00F42CDB">
              <w:rPr>
                <w:rFonts w:ascii="Times New Roman" w:hAnsi="Times New Roman" w:cs="Times New Roman"/>
                <w:b/>
                <w:color w:val="auto"/>
                <w:sz w:val="18"/>
                <w:szCs w:val="20"/>
              </w:rPr>
              <w:t xml:space="preserve">Ekspozycje pozabilansowe </w:t>
            </w:r>
          </w:p>
          <w:p w14:paraId="4DA7DD74" w14:textId="77777777" w:rsidR="00662FC9" w:rsidRPr="00F42CDB" w:rsidRDefault="00662FC9" w:rsidP="00662FC9">
            <w:pPr>
              <w:rPr>
                <w:sz w:val="18"/>
                <w:szCs w:val="20"/>
              </w:rPr>
            </w:pPr>
          </w:p>
        </w:tc>
        <w:tc>
          <w:tcPr>
            <w:tcW w:w="415" w:type="dxa"/>
            <w:shd w:val="clear" w:color="auto" w:fill="FABF8F" w:themeFill="accent6" w:themeFillTint="99"/>
          </w:tcPr>
          <w:p w14:paraId="3BE79697"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3E88E477" w14:textId="52C29429"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24B17942" w14:textId="6A8723AE"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47858C27"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695E9054" w14:textId="321A4CFB"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6BD3D063" w14:textId="7ADF87BA"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37EE590E" w14:textId="40DC5329"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4DDB47ED" w14:textId="20B729CF"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706320C4" w14:textId="6D1E9EDE"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25ECFEF5" w14:textId="3FC8A153"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0FFDCB4F" w14:textId="26D2FFF9"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166D420F" w14:textId="63062D6B"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7040628A" w14:textId="77777777" w:rsidTr="00D53713">
        <w:tc>
          <w:tcPr>
            <w:tcW w:w="419" w:type="dxa"/>
          </w:tcPr>
          <w:p w14:paraId="2E1AEE98" w14:textId="77777777" w:rsidR="00662FC9" w:rsidRPr="00F42CDB" w:rsidRDefault="00662FC9" w:rsidP="00662FC9">
            <w:pPr>
              <w:jc w:val="both"/>
              <w:rPr>
                <w:rFonts w:cstheme="minorHAnsi"/>
                <w:sz w:val="20"/>
                <w:szCs w:val="20"/>
              </w:rPr>
            </w:pPr>
            <w:r w:rsidRPr="00F42CDB">
              <w:rPr>
                <w:rFonts w:cstheme="minorHAnsi"/>
                <w:sz w:val="20"/>
                <w:szCs w:val="20"/>
              </w:rPr>
              <w:t>16</w:t>
            </w:r>
          </w:p>
        </w:tc>
        <w:tc>
          <w:tcPr>
            <w:tcW w:w="1282" w:type="dxa"/>
          </w:tcPr>
          <w:p w14:paraId="5A400E5D"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Banki centralne </w:t>
            </w:r>
          </w:p>
          <w:p w14:paraId="6673FB1F" w14:textId="77777777" w:rsidR="00662FC9" w:rsidRPr="00F42CDB" w:rsidRDefault="00662FC9" w:rsidP="00662FC9">
            <w:pPr>
              <w:rPr>
                <w:sz w:val="18"/>
                <w:szCs w:val="20"/>
              </w:rPr>
            </w:pPr>
          </w:p>
        </w:tc>
        <w:tc>
          <w:tcPr>
            <w:tcW w:w="415" w:type="dxa"/>
            <w:shd w:val="clear" w:color="auto" w:fill="FABF8F" w:themeFill="accent6" w:themeFillTint="99"/>
          </w:tcPr>
          <w:p w14:paraId="0A75BF56"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60ECED6E" w14:textId="77777777" w:rsidR="00662FC9" w:rsidRPr="00F42CDB" w:rsidRDefault="00662FC9" w:rsidP="00662FC9">
            <w:pPr>
              <w:jc w:val="right"/>
              <w:rPr>
                <w:rFonts w:cstheme="minorHAnsi"/>
                <w:sz w:val="20"/>
                <w:szCs w:val="20"/>
              </w:rPr>
            </w:pPr>
            <w:r w:rsidRPr="00F42CDB">
              <w:rPr>
                <w:rFonts w:cstheme="minorHAnsi"/>
                <w:sz w:val="20"/>
                <w:szCs w:val="20"/>
              </w:rPr>
              <w:t>0,00</w:t>
            </w:r>
          </w:p>
          <w:p w14:paraId="623A0F5F" w14:textId="1BCEA06B" w:rsidR="00662FC9" w:rsidRPr="00F42CDB" w:rsidRDefault="00662FC9" w:rsidP="00662FC9">
            <w:pPr>
              <w:jc w:val="right"/>
              <w:rPr>
                <w:rFonts w:cstheme="minorHAnsi"/>
                <w:sz w:val="20"/>
                <w:szCs w:val="20"/>
              </w:rPr>
            </w:pPr>
          </w:p>
        </w:tc>
        <w:tc>
          <w:tcPr>
            <w:tcW w:w="1274" w:type="dxa"/>
            <w:gridSpan w:val="3"/>
            <w:shd w:val="clear" w:color="auto" w:fill="FABF8F" w:themeFill="accent6" w:themeFillTint="99"/>
          </w:tcPr>
          <w:p w14:paraId="686C9423" w14:textId="2213407C"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287C00BF"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383566CB" w14:textId="71696898"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73B5578E" w14:textId="621FCD42"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0EECCC50" w14:textId="5F6F25BB"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2D66D7EE" w14:textId="2DCBB521"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5D768825" w14:textId="4AC18B02"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2751E69C" w14:textId="0EE1BB28"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0C08A91F" w14:textId="07B2B805"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434CB173" w14:textId="7F0942E6"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78584A96" w14:textId="77777777" w:rsidTr="00D53713">
        <w:tc>
          <w:tcPr>
            <w:tcW w:w="419" w:type="dxa"/>
          </w:tcPr>
          <w:p w14:paraId="71113932" w14:textId="77777777" w:rsidR="00662FC9" w:rsidRPr="00F42CDB" w:rsidRDefault="00662FC9" w:rsidP="00662FC9">
            <w:pPr>
              <w:jc w:val="both"/>
              <w:rPr>
                <w:rFonts w:cstheme="minorHAnsi"/>
                <w:sz w:val="20"/>
                <w:szCs w:val="20"/>
              </w:rPr>
            </w:pPr>
            <w:r w:rsidRPr="00F42CDB">
              <w:rPr>
                <w:rFonts w:cstheme="minorHAnsi"/>
                <w:sz w:val="20"/>
                <w:szCs w:val="20"/>
              </w:rPr>
              <w:t>17</w:t>
            </w:r>
          </w:p>
        </w:tc>
        <w:tc>
          <w:tcPr>
            <w:tcW w:w="1282" w:type="dxa"/>
          </w:tcPr>
          <w:p w14:paraId="3CCC371D"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rządowe </w:t>
            </w:r>
          </w:p>
          <w:p w14:paraId="016B286F" w14:textId="77777777" w:rsidR="00662FC9" w:rsidRPr="00F42CDB" w:rsidRDefault="00662FC9" w:rsidP="00662FC9">
            <w:pPr>
              <w:rPr>
                <w:sz w:val="18"/>
                <w:szCs w:val="20"/>
              </w:rPr>
            </w:pPr>
          </w:p>
        </w:tc>
        <w:tc>
          <w:tcPr>
            <w:tcW w:w="415" w:type="dxa"/>
            <w:shd w:val="clear" w:color="auto" w:fill="FABF8F" w:themeFill="accent6" w:themeFillTint="99"/>
          </w:tcPr>
          <w:p w14:paraId="06FAD616"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5FF3C077" w14:textId="053EB25D"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252B7C99" w14:textId="2DE631CC"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1057AFD5"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0F014557" w14:textId="5C3BB8B1"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3ECDCE9B" w14:textId="609A4CCC"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787BEC64" w14:textId="46076EF8"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4528C199" w14:textId="7AF07F0A"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4797DB6E" w14:textId="7DFE95FA"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27C9E46D" w14:textId="04D5A462"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074CFECB" w14:textId="6E4A5302"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2FD77961" w14:textId="21587A60"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69F0C16D" w14:textId="77777777" w:rsidTr="00D53713">
        <w:tc>
          <w:tcPr>
            <w:tcW w:w="419" w:type="dxa"/>
          </w:tcPr>
          <w:p w14:paraId="6E326037" w14:textId="77777777" w:rsidR="00662FC9" w:rsidRPr="00F42CDB" w:rsidRDefault="00662FC9" w:rsidP="00662FC9">
            <w:pPr>
              <w:jc w:val="both"/>
              <w:rPr>
                <w:rFonts w:cstheme="minorHAnsi"/>
                <w:sz w:val="20"/>
                <w:szCs w:val="20"/>
              </w:rPr>
            </w:pPr>
            <w:r w:rsidRPr="00F42CDB">
              <w:rPr>
                <w:rFonts w:cstheme="minorHAnsi"/>
                <w:sz w:val="20"/>
                <w:szCs w:val="20"/>
              </w:rPr>
              <w:t>18</w:t>
            </w:r>
          </w:p>
        </w:tc>
        <w:tc>
          <w:tcPr>
            <w:tcW w:w="1282" w:type="dxa"/>
          </w:tcPr>
          <w:p w14:paraId="1DA20469"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Instytucje kredytowe </w:t>
            </w:r>
          </w:p>
          <w:p w14:paraId="6B8FEF4F" w14:textId="77777777" w:rsidR="00662FC9" w:rsidRPr="00F42CDB" w:rsidRDefault="00662FC9" w:rsidP="00662FC9">
            <w:pPr>
              <w:rPr>
                <w:sz w:val="18"/>
                <w:szCs w:val="20"/>
              </w:rPr>
            </w:pPr>
          </w:p>
        </w:tc>
        <w:tc>
          <w:tcPr>
            <w:tcW w:w="415" w:type="dxa"/>
            <w:shd w:val="clear" w:color="auto" w:fill="FABF8F" w:themeFill="accent6" w:themeFillTint="99"/>
          </w:tcPr>
          <w:p w14:paraId="0BDC8843"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26642ECF" w14:textId="3A23D64E"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6C648513" w14:textId="405757C2"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67522DD9"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56B5D917" w14:textId="5FB1E316"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1956197B" w14:textId="3C6CCD31"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171C3A29" w14:textId="2638F97C"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30EFEC65" w14:textId="77468A7B"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7F4CACB0" w14:textId="2ACC9840"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3B89DF83" w14:textId="130FF595"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33507CEE" w14:textId="345F6099"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31D59638" w14:textId="5A5B826D"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0DF75770" w14:textId="77777777" w:rsidTr="00BE1CD9">
        <w:trPr>
          <w:trHeight w:val="478"/>
        </w:trPr>
        <w:tc>
          <w:tcPr>
            <w:tcW w:w="419" w:type="dxa"/>
          </w:tcPr>
          <w:p w14:paraId="54395FB1" w14:textId="77777777" w:rsidR="00662FC9" w:rsidRPr="00F42CDB" w:rsidRDefault="00662FC9" w:rsidP="00662FC9">
            <w:pPr>
              <w:jc w:val="both"/>
              <w:rPr>
                <w:rFonts w:cstheme="minorHAnsi"/>
                <w:sz w:val="20"/>
                <w:szCs w:val="20"/>
              </w:rPr>
            </w:pPr>
            <w:r w:rsidRPr="00F42CDB">
              <w:rPr>
                <w:rFonts w:cstheme="minorHAnsi"/>
                <w:sz w:val="20"/>
                <w:szCs w:val="20"/>
              </w:rPr>
              <w:t>19</w:t>
            </w:r>
          </w:p>
        </w:tc>
        <w:tc>
          <w:tcPr>
            <w:tcW w:w="1282" w:type="dxa"/>
          </w:tcPr>
          <w:p w14:paraId="3818F520" w14:textId="77777777" w:rsidR="00662FC9" w:rsidRPr="00F42CDB" w:rsidRDefault="00662FC9" w:rsidP="00662FC9">
            <w:pPr>
              <w:pStyle w:val="Default"/>
              <w:rPr>
                <w:rFonts w:ascii="Times New Roman" w:hAnsi="Times New Roman" w:cs="Times New Roman"/>
                <w:color w:val="auto"/>
                <w:sz w:val="18"/>
                <w:szCs w:val="20"/>
              </w:rPr>
            </w:pPr>
            <w:r w:rsidRPr="00F42CDB">
              <w:rPr>
                <w:rFonts w:ascii="Times New Roman" w:hAnsi="Times New Roman" w:cs="Times New Roman"/>
                <w:iCs/>
                <w:color w:val="auto"/>
                <w:sz w:val="18"/>
                <w:szCs w:val="20"/>
              </w:rPr>
              <w:t xml:space="preserve">Inne instytucje finansowe </w:t>
            </w:r>
          </w:p>
          <w:p w14:paraId="30808EB7" w14:textId="77777777" w:rsidR="00662FC9" w:rsidRPr="00F42CDB" w:rsidRDefault="00662FC9" w:rsidP="00662FC9">
            <w:pPr>
              <w:rPr>
                <w:sz w:val="18"/>
                <w:szCs w:val="20"/>
              </w:rPr>
            </w:pPr>
          </w:p>
        </w:tc>
        <w:tc>
          <w:tcPr>
            <w:tcW w:w="415" w:type="dxa"/>
            <w:shd w:val="clear" w:color="auto" w:fill="FABF8F" w:themeFill="accent6" w:themeFillTint="99"/>
          </w:tcPr>
          <w:p w14:paraId="4EEFBDE6"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5E54FBF7" w14:textId="72FC7907"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7D5323A5" w14:textId="402A90EB"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798B66E0"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73F69BFA" w14:textId="04A62056"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56CAC8B8" w14:textId="09DD4293"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3C832145" w14:textId="72C7D845"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0DA03986" w14:textId="683B8798"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56CB7AE8" w14:textId="05F98F9E"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5736FD15" w14:textId="664D0E86"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7397F08F" w14:textId="4A09A493"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26F4874D" w14:textId="03A7695E"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4FE9BF66" w14:textId="77777777" w:rsidTr="00D53713">
        <w:tc>
          <w:tcPr>
            <w:tcW w:w="419" w:type="dxa"/>
          </w:tcPr>
          <w:p w14:paraId="64E21B95" w14:textId="77777777" w:rsidR="00662FC9" w:rsidRPr="00F42CDB" w:rsidRDefault="00662FC9" w:rsidP="00662FC9">
            <w:pPr>
              <w:jc w:val="both"/>
              <w:rPr>
                <w:rFonts w:cstheme="minorHAnsi"/>
                <w:sz w:val="20"/>
                <w:szCs w:val="20"/>
              </w:rPr>
            </w:pPr>
            <w:r w:rsidRPr="00F42CDB">
              <w:rPr>
                <w:rFonts w:cstheme="minorHAnsi"/>
                <w:sz w:val="20"/>
                <w:szCs w:val="20"/>
              </w:rPr>
              <w:t>20</w:t>
            </w:r>
          </w:p>
        </w:tc>
        <w:tc>
          <w:tcPr>
            <w:tcW w:w="1282" w:type="dxa"/>
          </w:tcPr>
          <w:p w14:paraId="7B032665" w14:textId="14EEEA6A" w:rsidR="00662FC9" w:rsidRPr="00F42CDB" w:rsidRDefault="00662FC9" w:rsidP="00BE1CD9">
            <w:pPr>
              <w:pStyle w:val="Default"/>
              <w:rPr>
                <w:color w:val="auto"/>
                <w:sz w:val="18"/>
                <w:szCs w:val="20"/>
              </w:rPr>
            </w:pPr>
            <w:r w:rsidRPr="00F42CDB">
              <w:rPr>
                <w:rFonts w:ascii="Times New Roman" w:hAnsi="Times New Roman" w:cs="Times New Roman"/>
                <w:iCs/>
                <w:color w:val="auto"/>
                <w:sz w:val="18"/>
                <w:szCs w:val="20"/>
              </w:rPr>
              <w:t xml:space="preserve">Przedsiębiorstwa niefinansowe </w:t>
            </w:r>
          </w:p>
        </w:tc>
        <w:tc>
          <w:tcPr>
            <w:tcW w:w="415" w:type="dxa"/>
            <w:shd w:val="clear" w:color="auto" w:fill="FABF8F" w:themeFill="accent6" w:themeFillTint="99"/>
          </w:tcPr>
          <w:p w14:paraId="42E4FB62"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658CC0D5" w14:textId="04B35457"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63CE8A3C" w14:textId="3EB82ACC"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059A1E5B"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048B3485" w14:textId="74A3A72F"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6B6A9347" w14:textId="1C58C678"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72A0F723" w14:textId="77C0C12E"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2435ECBB" w14:textId="4ECDB63F"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43C794E1" w14:textId="520754FF"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5AA75880" w14:textId="353309C4"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60FAFB64" w14:textId="6EFB70D1"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178B23D1" w14:textId="4881DF7D"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6F5676E4" w14:textId="77777777" w:rsidTr="00D53713">
        <w:tc>
          <w:tcPr>
            <w:tcW w:w="419" w:type="dxa"/>
          </w:tcPr>
          <w:p w14:paraId="556087EA" w14:textId="77777777" w:rsidR="00662FC9" w:rsidRPr="00F42CDB" w:rsidRDefault="00662FC9" w:rsidP="00662FC9">
            <w:pPr>
              <w:jc w:val="both"/>
              <w:rPr>
                <w:rFonts w:cstheme="minorHAnsi"/>
                <w:sz w:val="20"/>
                <w:szCs w:val="20"/>
              </w:rPr>
            </w:pPr>
            <w:r w:rsidRPr="00F42CDB">
              <w:rPr>
                <w:rFonts w:cstheme="minorHAnsi"/>
                <w:sz w:val="20"/>
                <w:szCs w:val="20"/>
              </w:rPr>
              <w:t>21</w:t>
            </w:r>
          </w:p>
        </w:tc>
        <w:tc>
          <w:tcPr>
            <w:tcW w:w="1282" w:type="dxa"/>
          </w:tcPr>
          <w:p w14:paraId="734B105E" w14:textId="77777777" w:rsidR="00662FC9" w:rsidRPr="00F42CDB" w:rsidRDefault="00662FC9" w:rsidP="00662FC9">
            <w:pPr>
              <w:rPr>
                <w:sz w:val="18"/>
                <w:szCs w:val="20"/>
              </w:rPr>
            </w:pPr>
            <w:r w:rsidRPr="00F42CDB">
              <w:rPr>
                <w:sz w:val="18"/>
                <w:szCs w:val="20"/>
              </w:rPr>
              <w:t>Gospodarstwa domowe</w:t>
            </w:r>
          </w:p>
        </w:tc>
        <w:tc>
          <w:tcPr>
            <w:tcW w:w="415" w:type="dxa"/>
            <w:shd w:val="clear" w:color="auto" w:fill="FABF8F" w:themeFill="accent6" w:themeFillTint="99"/>
          </w:tcPr>
          <w:p w14:paraId="21BFE9BA" w14:textId="77777777" w:rsidR="00662FC9" w:rsidRPr="00F42CDB" w:rsidRDefault="00662FC9" w:rsidP="00662FC9">
            <w:pPr>
              <w:jc w:val="both"/>
              <w:rPr>
                <w:rFonts w:cstheme="minorHAnsi"/>
                <w:sz w:val="20"/>
                <w:szCs w:val="20"/>
              </w:rPr>
            </w:pPr>
          </w:p>
        </w:tc>
        <w:tc>
          <w:tcPr>
            <w:tcW w:w="1446" w:type="dxa"/>
            <w:shd w:val="clear" w:color="auto" w:fill="FABF8F" w:themeFill="accent6" w:themeFillTint="99"/>
          </w:tcPr>
          <w:p w14:paraId="5A76368C" w14:textId="50E43161" w:rsidR="00662FC9" w:rsidRPr="00F42CDB" w:rsidRDefault="00662FC9" w:rsidP="00662FC9">
            <w:pPr>
              <w:jc w:val="right"/>
              <w:rPr>
                <w:rFonts w:cstheme="minorHAnsi"/>
                <w:sz w:val="20"/>
                <w:szCs w:val="20"/>
              </w:rPr>
            </w:pPr>
            <w:r w:rsidRPr="00F42CDB">
              <w:rPr>
                <w:rFonts w:cstheme="minorHAnsi"/>
                <w:sz w:val="20"/>
                <w:szCs w:val="20"/>
              </w:rPr>
              <w:t>0,00</w:t>
            </w:r>
          </w:p>
        </w:tc>
        <w:tc>
          <w:tcPr>
            <w:tcW w:w="1274" w:type="dxa"/>
            <w:gridSpan w:val="3"/>
            <w:shd w:val="clear" w:color="auto" w:fill="FABF8F" w:themeFill="accent6" w:themeFillTint="99"/>
          </w:tcPr>
          <w:p w14:paraId="0417789F" w14:textId="5B0D9360" w:rsidR="00662FC9" w:rsidRPr="00F42CDB" w:rsidRDefault="00662FC9" w:rsidP="00662FC9">
            <w:pPr>
              <w:jc w:val="right"/>
              <w:rPr>
                <w:rFonts w:cstheme="minorHAnsi"/>
                <w:sz w:val="20"/>
                <w:szCs w:val="20"/>
              </w:rPr>
            </w:pPr>
            <w:r w:rsidRPr="00F42CDB">
              <w:rPr>
                <w:rFonts w:cstheme="minorHAnsi"/>
                <w:sz w:val="20"/>
                <w:szCs w:val="20"/>
              </w:rPr>
              <w:t>0,00</w:t>
            </w:r>
          </w:p>
        </w:tc>
        <w:tc>
          <w:tcPr>
            <w:tcW w:w="537" w:type="dxa"/>
            <w:shd w:val="clear" w:color="auto" w:fill="FABF8F" w:themeFill="accent6" w:themeFillTint="99"/>
          </w:tcPr>
          <w:p w14:paraId="137B247C" w14:textId="77777777" w:rsidR="00662FC9" w:rsidRPr="00F42CDB" w:rsidRDefault="00662FC9" w:rsidP="00662FC9">
            <w:pPr>
              <w:jc w:val="right"/>
              <w:rPr>
                <w:rFonts w:cstheme="minorHAnsi"/>
                <w:sz w:val="20"/>
                <w:szCs w:val="20"/>
              </w:rPr>
            </w:pPr>
          </w:p>
        </w:tc>
        <w:tc>
          <w:tcPr>
            <w:tcW w:w="1417" w:type="dxa"/>
            <w:shd w:val="clear" w:color="auto" w:fill="FABF8F" w:themeFill="accent6" w:themeFillTint="99"/>
          </w:tcPr>
          <w:p w14:paraId="76336FC7" w14:textId="1B5DD9F6" w:rsidR="00662FC9" w:rsidRPr="00F42CDB" w:rsidRDefault="00662FC9" w:rsidP="00662FC9">
            <w:pPr>
              <w:jc w:val="right"/>
              <w:rPr>
                <w:rFonts w:cstheme="minorHAnsi"/>
                <w:sz w:val="20"/>
                <w:szCs w:val="20"/>
              </w:rPr>
            </w:pPr>
            <w:r w:rsidRPr="00F42CDB">
              <w:rPr>
                <w:rFonts w:cstheme="minorHAnsi"/>
                <w:sz w:val="20"/>
                <w:szCs w:val="20"/>
              </w:rPr>
              <w:t>0,00</w:t>
            </w:r>
          </w:p>
        </w:tc>
        <w:tc>
          <w:tcPr>
            <w:tcW w:w="843" w:type="dxa"/>
            <w:shd w:val="clear" w:color="auto" w:fill="FABF8F" w:themeFill="accent6" w:themeFillTint="99"/>
          </w:tcPr>
          <w:p w14:paraId="2E54111E" w14:textId="130ED417" w:rsidR="00662FC9" w:rsidRPr="00F42CDB" w:rsidRDefault="00662FC9" w:rsidP="00662FC9">
            <w:pPr>
              <w:jc w:val="right"/>
              <w:rPr>
                <w:rFonts w:cstheme="minorHAnsi"/>
                <w:sz w:val="20"/>
                <w:szCs w:val="20"/>
              </w:rPr>
            </w:pPr>
            <w:r w:rsidRPr="00F42CDB">
              <w:rPr>
                <w:rFonts w:cstheme="minorHAnsi"/>
                <w:sz w:val="20"/>
                <w:szCs w:val="20"/>
              </w:rPr>
              <w:t>0,00</w:t>
            </w:r>
          </w:p>
        </w:tc>
        <w:tc>
          <w:tcPr>
            <w:tcW w:w="1000" w:type="dxa"/>
            <w:gridSpan w:val="2"/>
            <w:shd w:val="clear" w:color="auto" w:fill="FABF8F" w:themeFill="accent6" w:themeFillTint="99"/>
          </w:tcPr>
          <w:p w14:paraId="6A216E0F" w14:textId="38BFF421"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1F881E34" w14:textId="44D57B88" w:rsidR="00662FC9" w:rsidRPr="00F42CDB" w:rsidRDefault="00662FC9" w:rsidP="00662FC9">
            <w:pPr>
              <w:jc w:val="right"/>
              <w:rPr>
                <w:rFonts w:cstheme="minorHAnsi"/>
                <w:sz w:val="20"/>
                <w:szCs w:val="20"/>
              </w:rPr>
            </w:pPr>
            <w:r w:rsidRPr="00F42CDB">
              <w:rPr>
                <w:rFonts w:cstheme="minorHAnsi"/>
                <w:sz w:val="20"/>
                <w:szCs w:val="20"/>
              </w:rPr>
              <w:t>0,00</w:t>
            </w:r>
          </w:p>
        </w:tc>
        <w:tc>
          <w:tcPr>
            <w:tcW w:w="993" w:type="dxa"/>
            <w:shd w:val="clear" w:color="auto" w:fill="FABF8F" w:themeFill="accent6" w:themeFillTint="99"/>
          </w:tcPr>
          <w:p w14:paraId="43FB61D2" w14:textId="7E54A81A"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1DE48038" w14:textId="020A6AF1" w:rsidR="00662FC9" w:rsidRPr="00F42CDB" w:rsidRDefault="00662FC9" w:rsidP="00662FC9">
            <w:pPr>
              <w:jc w:val="right"/>
              <w:rPr>
                <w:rFonts w:cstheme="minorHAnsi"/>
                <w:sz w:val="20"/>
                <w:szCs w:val="20"/>
              </w:rPr>
            </w:pPr>
            <w:r w:rsidRPr="00F42CDB">
              <w:rPr>
                <w:rFonts w:cstheme="minorHAnsi"/>
                <w:sz w:val="20"/>
                <w:szCs w:val="20"/>
              </w:rPr>
              <w:t>0,00</w:t>
            </w:r>
          </w:p>
        </w:tc>
        <w:tc>
          <w:tcPr>
            <w:tcW w:w="992" w:type="dxa"/>
            <w:shd w:val="clear" w:color="auto" w:fill="FABF8F" w:themeFill="accent6" w:themeFillTint="99"/>
          </w:tcPr>
          <w:p w14:paraId="6217B065" w14:textId="3F2404D3" w:rsidR="00662FC9" w:rsidRPr="00F42CDB" w:rsidRDefault="00662FC9" w:rsidP="00662FC9">
            <w:pPr>
              <w:jc w:val="right"/>
              <w:rPr>
                <w:rFonts w:cstheme="minorHAnsi"/>
                <w:sz w:val="20"/>
                <w:szCs w:val="20"/>
              </w:rPr>
            </w:pPr>
            <w:r w:rsidRPr="00F42CDB">
              <w:rPr>
                <w:rFonts w:cstheme="minorHAnsi"/>
                <w:sz w:val="20"/>
                <w:szCs w:val="20"/>
              </w:rPr>
              <w:t>0,00</w:t>
            </w:r>
          </w:p>
        </w:tc>
        <w:tc>
          <w:tcPr>
            <w:tcW w:w="1427" w:type="dxa"/>
            <w:shd w:val="clear" w:color="auto" w:fill="FABF8F" w:themeFill="accent6" w:themeFillTint="99"/>
          </w:tcPr>
          <w:p w14:paraId="41D6FA8B" w14:textId="39679BEC" w:rsidR="00662FC9" w:rsidRPr="00F42CDB" w:rsidRDefault="00662FC9" w:rsidP="00662FC9">
            <w:pPr>
              <w:jc w:val="right"/>
              <w:rPr>
                <w:rFonts w:cstheme="minorHAnsi"/>
                <w:sz w:val="20"/>
                <w:szCs w:val="20"/>
              </w:rPr>
            </w:pPr>
            <w:r w:rsidRPr="00F42CDB">
              <w:rPr>
                <w:rFonts w:cstheme="minorHAnsi"/>
                <w:sz w:val="20"/>
                <w:szCs w:val="20"/>
              </w:rPr>
              <w:t>0,00</w:t>
            </w:r>
          </w:p>
        </w:tc>
      </w:tr>
      <w:tr w:rsidR="00ED417D" w:rsidRPr="00ED417D" w14:paraId="65E46FE1" w14:textId="77777777" w:rsidTr="00F42CDB">
        <w:trPr>
          <w:trHeight w:val="70"/>
        </w:trPr>
        <w:tc>
          <w:tcPr>
            <w:tcW w:w="419" w:type="dxa"/>
          </w:tcPr>
          <w:p w14:paraId="631C0535" w14:textId="77777777" w:rsidR="00662FC9" w:rsidRPr="00F42CDB" w:rsidRDefault="00662FC9" w:rsidP="00662FC9">
            <w:pPr>
              <w:jc w:val="right"/>
              <w:rPr>
                <w:rFonts w:cstheme="minorHAnsi"/>
                <w:b/>
                <w:sz w:val="20"/>
                <w:szCs w:val="20"/>
              </w:rPr>
            </w:pPr>
            <w:r w:rsidRPr="00F42CDB">
              <w:rPr>
                <w:rFonts w:cstheme="minorHAnsi"/>
                <w:b/>
                <w:sz w:val="20"/>
                <w:szCs w:val="20"/>
              </w:rPr>
              <w:t>22</w:t>
            </w:r>
          </w:p>
        </w:tc>
        <w:tc>
          <w:tcPr>
            <w:tcW w:w="1282" w:type="dxa"/>
          </w:tcPr>
          <w:p w14:paraId="4500B02C" w14:textId="77777777" w:rsidR="00662FC9" w:rsidRPr="00F42CDB" w:rsidRDefault="00662FC9" w:rsidP="00662FC9">
            <w:pPr>
              <w:jc w:val="right"/>
              <w:rPr>
                <w:b/>
                <w:sz w:val="18"/>
                <w:szCs w:val="20"/>
              </w:rPr>
            </w:pPr>
            <w:r w:rsidRPr="00F42CDB">
              <w:rPr>
                <w:b/>
                <w:sz w:val="18"/>
                <w:szCs w:val="20"/>
              </w:rPr>
              <w:t>Łącznie</w:t>
            </w:r>
          </w:p>
        </w:tc>
        <w:tc>
          <w:tcPr>
            <w:tcW w:w="415" w:type="dxa"/>
          </w:tcPr>
          <w:p w14:paraId="467373BB" w14:textId="77777777" w:rsidR="00662FC9" w:rsidRPr="00F42CDB" w:rsidRDefault="00662FC9" w:rsidP="00662FC9">
            <w:pPr>
              <w:jc w:val="right"/>
              <w:rPr>
                <w:rFonts w:cstheme="minorHAnsi"/>
                <w:b/>
                <w:sz w:val="20"/>
                <w:szCs w:val="20"/>
              </w:rPr>
            </w:pPr>
          </w:p>
        </w:tc>
        <w:tc>
          <w:tcPr>
            <w:tcW w:w="1446" w:type="dxa"/>
          </w:tcPr>
          <w:p w14:paraId="562BAE6A" w14:textId="66685223" w:rsidR="00662FC9" w:rsidRPr="00F42CDB" w:rsidRDefault="00F42CDB" w:rsidP="00662FC9">
            <w:pPr>
              <w:jc w:val="right"/>
              <w:rPr>
                <w:rFonts w:cstheme="minorHAnsi"/>
                <w:b/>
                <w:sz w:val="20"/>
                <w:szCs w:val="20"/>
              </w:rPr>
            </w:pPr>
            <w:r w:rsidRPr="00F42CDB">
              <w:rPr>
                <w:rFonts w:cstheme="minorHAnsi"/>
                <w:b/>
                <w:sz w:val="20"/>
                <w:szCs w:val="20"/>
              </w:rPr>
              <w:t>127 210,40</w:t>
            </w:r>
          </w:p>
        </w:tc>
        <w:tc>
          <w:tcPr>
            <w:tcW w:w="1274" w:type="dxa"/>
            <w:gridSpan w:val="3"/>
          </w:tcPr>
          <w:p w14:paraId="64CEFE69" w14:textId="5D09BCDD" w:rsidR="00662FC9" w:rsidRPr="00F42CDB" w:rsidRDefault="00662FC9" w:rsidP="00662FC9">
            <w:pPr>
              <w:jc w:val="right"/>
              <w:rPr>
                <w:rFonts w:cstheme="minorHAnsi"/>
                <w:b/>
                <w:sz w:val="20"/>
                <w:szCs w:val="20"/>
              </w:rPr>
            </w:pPr>
            <w:r w:rsidRPr="00F42CDB">
              <w:rPr>
                <w:rFonts w:cstheme="minorHAnsi"/>
                <w:b/>
                <w:sz w:val="20"/>
                <w:szCs w:val="20"/>
              </w:rPr>
              <w:t>0,00</w:t>
            </w:r>
          </w:p>
        </w:tc>
        <w:tc>
          <w:tcPr>
            <w:tcW w:w="537" w:type="dxa"/>
          </w:tcPr>
          <w:p w14:paraId="7402DD2E" w14:textId="77777777" w:rsidR="00662FC9" w:rsidRPr="00F42CDB" w:rsidRDefault="00662FC9" w:rsidP="00662FC9">
            <w:pPr>
              <w:jc w:val="right"/>
              <w:rPr>
                <w:rFonts w:cstheme="minorHAnsi"/>
                <w:b/>
                <w:sz w:val="20"/>
                <w:szCs w:val="20"/>
              </w:rPr>
            </w:pPr>
          </w:p>
        </w:tc>
        <w:tc>
          <w:tcPr>
            <w:tcW w:w="1417" w:type="dxa"/>
          </w:tcPr>
          <w:p w14:paraId="2CEC2227" w14:textId="5C86B375" w:rsidR="00662FC9" w:rsidRPr="00F42CDB" w:rsidRDefault="00F42CDB" w:rsidP="00662FC9">
            <w:pPr>
              <w:jc w:val="right"/>
              <w:rPr>
                <w:rFonts w:cstheme="minorHAnsi"/>
                <w:b/>
                <w:sz w:val="20"/>
                <w:szCs w:val="20"/>
              </w:rPr>
            </w:pPr>
            <w:r w:rsidRPr="00F42CDB">
              <w:rPr>
                <w:rFonts w:cstheme="minorHAnsi"/>
                <w:b/>
                <w:sz w:val="20"/>
                <w:szCs w:val="20"/>
              </w:rPr>
              <w:t>801,74</w:t>
            </w:r>
          </w:p>
        </w:tc>
        <w:tc>
          <w:tcPr>
            <w:tcW w:w="843" w:type="dxa"/>
          </w:tcPr>
          <w:p w14:paraId="79E6F021" w14:textId="670A4E4B" w:rsidR="00662FC9" w:rsidRPr="00F42CDB" w:rsidRDefault="00F42CDB" w:rsidP="00662FC9">
            <w:pPr>
              <w:jc w:val="right"/>
              <w:rPr>
                <w:rFonts w:cstheme="minorHAnsi"/>
                <w:b/>
                <w:sz w:val="20"/>
                <w:szCs w:val="20"/>
              </w:rPr>
            </w:pPr>
            <w:r w:rsidRPr="00F42CDB">
              <w:rPr>
                <w:rFonts w:cstheme="minorHAnsi"/>
                <w:b/>
                <w:sz w:val="20"/>
                <w:szCs w:val="20"/>
              </w:rPr>
              <w:t>0,00</w:t>
            </w:r>
          </w:p>
        </w:tc>
        <w:tc>
          <w:tcPr>
            <w:tcW w:w="1000" w:type="dxa"/>
            <w:gridSpan w:val="2"/>
          </w:tcPr>
          <w:p w14:paraId="2B972A82" w14:textId="758DB1CC" w:rsidR="00662FC9" w:rsidRPr="00F42CDB" w:rsidRDefault="00F42CDB" w:rsidP="00662FC9">
            <w:pPr>
              <w:jc w:val="right"/>
              <w:rPr>
                <w:rFonts w:cstheme="minorHAnsi"/>
                <w:b/>
                <w:sz w:val="20"/>
                <w:szCs w:val="20"/>
              </w:rPr>
            </w:pPr>
            <w:r w:rsidRPr="00F42CDB">
              <w:rPr>
                <w:rFonts w:cstheme="minorHAnsi"/>
                <w:b/>
                <w:sz w:val="20"/>
                <w:szCs w:val="20"/>
              </w:rPr>
              <w:t>67,06</w:t>
            </w:r>
          </w:p>
        </w:tc>
        <w:tc>
          <w:tcPr>
            <w:tcW w:w="992" w:type="dxa"/>
          </w:tcPr>
          <w:p w14:paraId="61469544" w14:textId="388DDF94" w:rsidR="00662FC9" w:rsidRPr="00F42CDB" w:rsidRDefault="00F42CDB" w:rsidP="00662FC9">
            <w:pPr>
              <w:jc w:val="right"/>
              <w:rPr>
                <w:rFonts w:cstheme="minorHAnsi"/>
                <w:b/>
                <w:sz w:val="20"/>
                <w:szCs w:val="20"/>
              </w:rPr>
            </w:pPr>
            <w:r w:rsidRPr="00F42CDB">
              <w:rPr>
                <w:rFonts w:cstheme="minorHAnsi"/>
                <w:b/>
                <w:sz w:val="20"/>
                <w:szCs w:val="20"/>
              </w:rPr>
              <w:t>947,59</w:t>
            </w:r>
          </w:p>
        </w:tc>
        <w:tc>
          <w:tcPr>
            <w:tcW w:w="993" w:type="dxa"/>
          </w:tcPr>
          <w:p w14:paraId="6BD93BF3" w14:textId="416709C1" w:rsidR="00662FC9" w:rsidRPr="00F42CDB" w:rsidRDefault="00F42CDB" w:rsidP="00662FC9">
            <w:pPr>
              <w:jc w:val="right"/>
              <w:rPr>
                <w:rFonts w:cstheme="minorHAnsi"/>
                <w:b/>
                <w:sz w:val="20"/>
                <w:szCs w:val="20"/>
              </w:rPr>
            </w:pPr>
            <w:r w:rsidRPr="00F42CDB">
              <w:rPr>
                <w:rFonts w:cstheme="minorHAnsi"/>
                <w:b/>
                <w:sz w:val="20"/>
                <w:szCs w:val="20"/>
              </w:rPr>
              <w:t>29,88</w:t>
            </w:r>
          </w:p>
        </w:tc>
        <w:tc>
          <w:tcPr>
            <w:tcW w:w="992" w:type="dxa"/>
          </w:tcPr>
          <w:p w14:paraId="07DDC8D9" w14:textId="0FEDD8B5" w:rsidR="00662FC9" w:rsidRPr="00F42CDB" w:rsidRDefault="00662FC9" w:rsidP="00662FC9">
            <w:pPr>
              <w:jc w:val="right"/>
              <w:rPr>
                <w:rFonts w:cstheme="minorHAnsi"/>
                <w:b/>
                <w:sz w:val="20"/>
                <w:szCs w:val="20"/>
              </w:rPr>
            </w:pPr>
            <w:r w:rsidRPr="00F42CDB">
              <w:rPr>
                <w:rFonts w:cstheme="minorHAnsi"/>
                <w:sz w:val="20"/>
                <w:szCs w:val="20"/>
              </w:rPr>
              <w:t>0,00</w:t>
            </w:r>
          </w:p>
        </w:tc>
        <w:tc>
          <w:tcPr>
            <w:tcW w:w="992" w:type="dxa"/>
          </w:tcPr>
          <w:p w14:paraId="626EF224" w14:textId="329F5BCA" w:rsidR="00662FC9" w:rsidRPr="00F42CDB" w:rsidRDefault="00662FC9" w:rsidP="00662FC9">
            <w:pPr>
              <w:jc w:val="right"/>
              <w:rPr>
                <w:rFonts w:cstheme="minorHAnsi"/>
                <w:b/>
                <w:sz w:val="20"/>
                <w:szCs w:val="20"/>
              </w:rPr>
            </w:pPr>
            <w:r w:rsidRPr="00F42CDB">
              <w:rPr>
                <w:rFonts w:cstheme="minorHAnsi"/>
                <w:sz w:val="20"/>
                <w:szCs w:val="20"/>
              </w:rPr>
              <w:t>0,00</w:t>
            </w:r>
          </w:p>
        </w:tc>
        <w:tc>
          <w:tcPr>
            <w:tcW w:w="1427" w:type="dxa"/>
          </w:tcPr>
          <w:p w14:paraId="554C2997" w14:textId="26912B87" w:rsidR="00662FC9" w:rsidRPr="00F42CDB" w:rsidRDefault="00662FC9" w:rsidP="00662FC9">
            <w:pPr>
              <w:jc w:val="right"/>
              <w:rPr>
                <w:rFonts w:cstheme="minorHAnsi"/>
                <w:b/>
                <w:sz w:val="20"/>
                <w:szCs w:val="20"/>
              </w:rPr>
            </w:pPr>
            <w:r w:rsidRPr="00F42CDB">
              <w:rPr>
                <w:rFonts w:cstheme="minorHAnsi"/>
                <w:sz w:val="20"/>
                <w:szCs w:val="20"/>
              </w:rPr>
              <w:t>0,00</w:t>
            </w:r>
          </w:p>
        </w:tc>
      </w:tr>
    </w:tbl>
    <w:tbl>
      <w:tblPr>
        <w:tblW w:w="15026" w:type="dxa"/>
        <w:tblCellMar>
          <w:left w:w="70" w:type="dxa"/>
          <w:right w:w="70" w:type="dxa"/>
        </w:tblCellMar>
        <w:tblLook w:val="04A0" w:firstRow="1" w:lastRow="0" w:firstColumn="1" w:lastColumn="0" w:noHBand="0" w:noVBand="1"/>
      </w:tblPr>
      <w:tblGrid>
        <w:gridCol w:w="1880"/>
        <w:gridCol w:w="4499"/>
        <w:gridCol w:w="425"/>
        <w:gridCol w:w="8222"/>
      </w:tblGrid>
      <w:tr w:rsidR="00F42CDB" w:rsidRPr="00F42CDB" w14:paraId="3E7FD5E0" w14:textId="77777777" w:rsidTr="00CD0946">
        <w:trPr>
          <w:gridAfter w:val="3"/>
          <w:wAfter w:w="13146" w:type="dxa"/>
          <w:trHeight w:val="288"/>
        </w:trPr>
        <w:tc>
          <w:tcPr>
            <w:tcW w:w="1880" w:type="dxa"/>
            <w:tcBorders>
              <w:top w:val="nil"/>
              <w:bottom w:val="single" w:sz="4" w:space="0" w:color="auto"/>
            </w:tcBorders>
            <w:shd w:val="clear" w:color="000000" w:fill="FFFFFF"/>
            <w:vAlign w:val="bottom"/>
            <w:hideMark/>
          </w:tcPr>
          <w:p w14:paraId="5C017203" w14:textId="77777777" w:rsidR="00CD0946" w:rsidRPr="00F42CDB" w:rsidRDefault="00CD0946" w:rsidP="00CD0946">
            <w:pPr>
              <w:jc w:val="center"/>
              <w:rPr>
                <w:rFonts w:ascii="Calibri" w:hAnsi="Calibri" w:cs="Calibri"/>
                <w:b/>
                <w:bCs/>
              </w:rPr>
            </w:pPr>
            <w:r w:rsidRPr="00F42CDB">
              <w:rPr>
                <w:rFonts w:ascii="Calibri" w:hAnsi="Calibri" w:cs="Calibri"/>
                <w:b/>
                <w:bCs/>
              </w:rPr>
              <w:lastRenderedPageBreak/>
              <w:t>Legenda:</w:t>
            </w:r>
          </w:p>
        </w:tc>
      </w:tr>
      <w:tr w:rsidR="00F42CDB" w:rsidRPr="00F42CDB" w14:paraId="15DD21FE" w14:textId="77777777" w:rsidTr="00CD0946">
        <w:trPr>
          <w:gridAfter w:val="1"/>
          <w:wAfter w:w="8222" w:type="dxa"/>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C4B9" w14:textId="77777777" w:rsidR="00CD0946" w:rsidRPr="00F42CDB" w:rsidRDefault="00CD0946" w:rsidP="00CD0946">
            <w:pPr>
              <w:rPr>
                <w:rFonts w:ascii="Calibri" w:hAnsi="Calibri" w:cs="Calibri"/>
              </w:rPr>
            </w:pPr>
            <w:r w:rsidRPr="00F42CDB">
              <w:rPr>
                <w:rFonts w:ascii="Calibri" w:hAnsi="Calibri" w:cs="Calibri"/>
              </w:rPr>
              <w:t> </w:t>
            </w:r>
          </w:p>
        </w:tc>
        <w:tc>
          <w:tcPr>
            <w:tcW w:w="4924" w:type="dxa"/>
            <w:gridSpan w:val="2"/>
            <w:vAlign w:val="center"/>
          </w:tcPr>
          <w:p w14:paraId="3B53B896" w14:textId="77777777" w:rsidR="00CD0946" w:rsidRPr="00F42CDB" w:rsidRDefault="00CD0946" w:rsidP="00CD0946">
            <w:pPr>
              <w:rPr>
                <w:sz w:val="20"/>
                <w:szCs w:val="20"/>
              </w:rPr>
            </w:pPr>
            <w:r w:rsidRPr="00F42CDB">
              <w:t>pola, których wypełnianie jest obowiązkowe</w:t>
            </w:r>
          </w:p>
        </w:tc>
      </w:tr>
      <w:tr w:rsidR="00F42CDB" w:rsidRPr="00F42CDB" w14:paraId="4D0D4547" w14:textId="77777777" w:rsidTr="00CD0946">
        <w:trPr>
          <w:gridAfter w:val="2"/>
          <w:wAfter w:w="8647" w:type="dxa"/>
          <w:trHeight w:val="300"/>
        </w:trPr>
        <w:tc>
          <w:tcPr>
            <w:tcW w:w="18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F6DDC65" w14:textId="77777777" w:rsidR="00CD0946" w:rsidRPr="00F42CDB" w:rsidRDefault="00CD0946" w:rsidP="00CD0946">
            <w:pPr>
              <w:rPr>
                <w:rFonts w:ascii="Calibri" w:hAnsi="Calibri" w:cs="Calibri"/>
                <w:b/>
                <w:bCs/>
              </w:rPr>
            </w:pPr>
            <w:r w:rsidRPr="00F42CDB">
              <w:rPr>
                <w:rFonts w:ascii="Calibri" w:hAnsi="Calibri" w:cs="Calibri"/>
                <w:b/>
                <w:bCs/>
              </w:rPr>
              <w:t> </w:t>
            </w:r>
          </w:p>
        </w:tc>
        <w:tc>
          <w:tcPr>
            <w:tcW w:w="4499" w:type="dxa"/>
            <w:vAlign w:val="bottom"/>
          </w:tcPr>
          <w:p w14:paraId="14AD07B4" w14:textId="77777777" w:rsidR="00CD0946" w:rsidRPr="00F42CDB" w:rsidRDefault="00CD0946" w:rsidP="00CD0946">
            <w:pPr>
              <w:rPr>
                <w:sz w:val="20"/>
                <w:szCs w:val="20"/>
              </w:rPr>
            </w:pPr>
            <w:r w:rsidRPr="00F42CDB">
              <w:t>pola, których wypełnianie jest nieobowiązkowe</w:t>
            </w:r>
          </w:p>
        </w:tc>
      </w:tr>
      <w:tr w:rsidR="00F42CDB" w:rsidRPr="00F42CDB" w14:paraId="6D6AD73B" w14:textId="77777777" w:rsidTr="00CD0946">
        <w:trPr>
          <w:trHeight w:val="524"/>
        </w:trPr>
        <w:tc>
          <w:tcPr>
            <w:tcW w:w="188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11279A2D" w14:textId="77777777" w:rsidR="00CD0946" w:rsidRPr="00F42CDB" w:rsidRDefault="00CD0946" w:rsidP="00CD0946">
            <w:pPr>
              <w:rPr>
                <w:rFonts w:ascii="Calibri" w:hAnsi="Calibri" w:cs="Calibri"/>
              </w:rPr>
            </w:pPr>
            <w:r w:rsidRPr="00F42CDB">
              <w:rPr>
                <w:rFonts w:ascii="Calibri" w:hAnsi="Calibri" w:cs="Calibri"/>
              </w:rPr>
              <w:t> </w:t>
            </w:r>
          </w:p>
        </w:tc>
        <w:tc>
          <w:tcPr>
            <w:tcW w:w="13146" w:type="dxa"/>
            <w:gridSpan w:val="3"/>
            <w:vAlign w:val="bottom"/>
          </w:tcPr>
          <w:p w14:paraId="37525A9C" w14:textId="77777777" w:rsidR="00CD0946" w:rsidRPr="00F42CDB" w:rsidRDefault="00CD0946" w:rsidP="00CD0946">
            <w:pPr>
              <w:rPr>
                <w:sz w:val="20"/>
                <w:szCs w:val="20"/>
              </w:rPr>
            </w:pPr>
            <w:r w:rsidRPr="00F42CDB">
              <w:t>pola zablokowane, zgodnie ze wzorcem zaprezentowanym w  „Wytycznych dotyczących ujawniania w zakresie ekspozycji nieobsługiwanych i restrukturyzowanych” (EBA/GL/2018/10)</w:t>
            </w:r>
          </w:p>
        </w:tc>
      </w:tr>
      <w:tr w:rsidR="00F42CDB" w:rsidRPr="00F42CDB" w14:paraId="6D5FF850" w14:textId="77777777" w:rsidTr="00CD0946">
        <w:trPr>
          <w:trHeight w:val="607"/>
        </w:trPr>
        <w:tc>
          <w:tcPr>
            <w:tcW w:w="1880" w:type="dxa"/>
            <w:tcBorders>
              <w:top w:val="single" w:sz="4" w:space="0" w:color="auto"/>
              <w:left w:val="single" w:sz="4" w:space="0" w:color="auto"/>
              <w:bottom w:val="single" w:sz="4" w:space="0" w:color="3F3F3F"/>
              <w:right w:val="single" w:sz="4" w:space="0" w:color="auto"/>
            </w:tcBorders>
            <w:shd w:val="clear" w:color="auto" w:fill="E36C0A" w:themeFill="accent6" w:themeFillShade="BF"/>
            <w:noWrap/>
            <w:vAlign w:val="bottom"/>
          </w:tcPr>
          <w:p w14:paraId="36CFD3FE" w14:textId="77777777" w:rsidR="00CD0946" w:rsidRPr="00F42CDB" w:rsidRDefault="00CD0946" w:rsidP="00CD0946">
            <w:pPr>
              <w:rPr>
                <w:rFonts w:ascii="Calibri" w:hAnsi="Calibri" w:cs="Calibri"/>
              </w:rPr>
            </w:pPr>
          </w:p>
        </w:tc>
        <w:tc>
          <w:tcPr>
            <w:tcW w:w="13146" w:type="dxa"/>
            <w:gridSpan w:val="3"/>
            <w:vAlign w:val="bottom"/>
          </w:tcPr>
          <w:p w14:paraId="5E047DEE" w14:textId="77777777" w:rsidR="00CD0946" w:rsidRPr="00F42CDB" w:rsidRDefault="00CD0946" w:rsidP="00CD0946">
            <w:r w:rsidRPr="00F42CDB">
              <w:t>kolumny „h” oraz „i” -  dostosowano do podziału terminowego obowiązującego w sprawozdawczości FINREP , formularz F.18, w wytycznych EBA obowiązują przedziały: kol „h” - przeterminowane &gt;1 rok &lt;=2 lata, kol „i” - przeterminowane &gt;2 lata&lt;=5 lat</w:t>
            </w:r>
          </w:p>
        </w:tc>
      </w:tr>
    </w:tbl>
    <w:p w14:paraId="7EC9ECBD" w14:textId="77777777" w:rsidR="00CD0946" w:rsidRPr="00F42CDB" w:rsidRDefault="00CD0946" w:rsidP="008F084B">
      <w:pPr>
        <w:rPr>
          <w:rFonts w:ascii="Times New Roman" w:hAnsi="Times New Roman" w:cs="Times New Roman"/>
          <w:sz w:val="24"/>
          <w:szCs w:val="24"/>
        </w:rPr>
      </w:pPr>
    </w:p>
    <w:p w14:paraId="238C09D8" w14:textId="77777777" w:rsidR="008F084B" w:rsidRPr="00F42CDB" w:rsidRDefault="008F084B"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6632"/>
          <w:tab w:val="num" w:pos="3621"/>
        </w:tabs>
        <w:spacing w:after="0" w:line="240" w:lineRule="auto"/>
        <w:ind w:left="426" w:hanging="426"/>
        <w:jc w:val="both"/>
        <w:rPr>
          <w:rFonts w:ascii="Times New Roman" w:hAnsi="Times New Roman" w:cs="Times New Roman"/>
          <w:b/>
          <w:sz w:val="24"/>
          <w:szCs w:val="24"/>
        </w:rPr>
      </w:pPr>
      <w:r w:rsidRPr="00F42CDB">
        <w:rPr>
          <w:rFonts w:ascii="Times New Roman" w:hAnsi="Times New Roman" w:cs="Times New Roman"/>
          <w:b/>
          <w:sz w:val="24"/>
          <w:szCs w:val="24"/>
        </w:rPr>
        <w:t>Ekspozycje obsługiwane i nieobsługiwane oraz związane z nimi rezerwy</w:t>
      </w:r>
    </w:p>
    <w:p w14:paraId="4E626E9F" w14:textId="77777777" w:rsidR="008F084B" w:rsidRPr="00ED417D" w:rsidRDefault="008F084B" w:rsidP="008F084B">
      <w:pPr>
        <w:spacing w:after="0" w:line="240" w:lineRule="auto"/>
        <w:jc w:val="both"/>
        <w:rPr>
          <w:rFonts w:ascii="Times New Roman" w:eastAsia="Times New Roman" w:hAnsi="Times New Roman" w:cs="Times New Roman"/>
          <w:color w:val="FF0000"/>
          <w:sz w:val="24"/>
          <w:szCs w:val="16"/>
          <w:lang w:eastAsia="pl-PL"/>
        </w:rPr>
      </w:pPr>
    </w:p>
    <w:tbl>
      <w:tblPr>
        <w:tblStyle w:val="Tabela-Siatka3"/>
        <w:tblW w:w="14634" w:type="dxa"/>
        <w:tblLayout w:type="fixed"/>
        <w:tblLook w:val="04A0" w:firstRow="1" w:lastRow="0" w:firstColumn="1" w:lastColumn="0" w:noHBand="0" w:noVBand="1"/>
      </w:tblPr>
      <w:tblGrid>
        <w:gridCol w:w="421"/>
        <w:gridCol w:w="997"/>
        <w:gridCol w:w="1134"/>
        <w:gridCol w:w="425"/>
        <w:gridCol w:w="567"/>
        <w:gridCol w:w="709"/>
        <w:gridCol w:w="283"/>
        <w:gridCol w:w="806"/>
        <w:gridCol w:w="10"/>
        <w:gridCol w:w="11"/>
        <w:gridCol w:w="449"/>
        <w:gridCol w:w="851"/>
        <w:gridCol w:w="1134"/>
        <w:gridCol w:w="567"/>
        <w:gridCol w:w="850"/>
        <w:gridCol w:w="1276"/>
        <w:gridCol w:w="1134"/>
        <w:gridCol w:w="1417"/>
        <w:gridCol w:w="1593"/>
      </w:tblGrid>
      <w:tr w:rsidR="00ED417D" w:rsidRPr="00ED417D" w14:paraId="032F70F6" w14:textId="77777777" w:rsidTr="00F42CDB">
        <w:tc>
          <w:tcPr>
            <w:tcW w:w="421" w:type="dxa"/>
            <w:vMerge w:val="restart"/>
            <w:tcBorders>
              <w:top w:val="nil"/>
              <w:left w:val="nil"/>
              <w:right w:val="nil"/>
            </w:tcBorders>
          </w:tcPr>
          <w:p w14:paraId="313AAAB8" w14:textId="77777777" w:rsidR="008F084B" w:rsidRPr="00ED417D" w:rsidRDefault="008F084B" w:rsidP="00CD0946">
            <w:pPr>
              <w:spacing w:after="200" w:line="276" w:lineRule="auto"/>
              <w:rPr>
                <w:rFonts w:ascii="Times New Roman" w:eastAsia="Times New Roman" w:hAnsi="Times New Roman" w:cs="Times New Roman"/>
                <w:color w:val="FF0000"/>
                <w:sz w:val="20"/>
                <w:szCs w:val="20"/>
                <w:lang w:eastAsia="pl-PL"/>
              </w:rPr>
            </w:pPr>
          </w:p>
        </w:tc>
        <w:tc>
          <w:tcPr>
            <w:tcW w:w="997" w:type="dxa"/>
            <w:vMerge w:val="restart"/>
            <w:tcBorders>
              <w:top w:val="nil"/>
              <w:left w:val="nil"/>
            </w:tcBorders>
          </w:tcPr>
          <w:p w14:paraId="32B4305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3945" w:type="dxa"/>
            <w:gridSpan w:val="8"/>
          </w:tcPr>
          <w:p w14:paraId="45AEFE67"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Wartość bilansowa brutto/kwota nominalna</w:t>
            </w:r>
          </w:p>
        </w:tc>
        <w:tc>
          <w:tcPr>
            <w:tcW w:w="5127" w:type="dxa"/>
            <w:gridSpan w:val="6"/>
          </w:tcPr>
          <w:p w14:paraId="656280DE"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Skumulowana utrata wartości, skumulowane ujemne zmiany wartości godziwej z tytułu ryzyka kredytowego i rezerw</w:t>
            </w:r>
          </w:p>
        </w:tc>
        <w:tc>
          <w:tcPr>
            <w:tcW w:w="1134" w:type="dxa"/>
            <w:vMerge w:val="restart"/>
            <w:vAlign w:val="center"/>
          </w:tcPr>
          <w:p w14:paraId="0EF6C17B" w14:textId="77777777" w:rsidR="008F084B" w:rsidRPr="00F42CDB" w:rsidRDefault="008F084B" w:rsidP="00CD0946">
            <w:pPr>
              <w:jc w:val="center"/>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Skumulowane odpisania częściowe</w:t>
            </w:r>
          </w:p>
        </w:tc>
        <w:tc>
          <w:tcPr>
            <w:tcW w:w="3010" w:type="dxa"/>
            <w:gridSpan w:val="2"/>
          </w:tcPr>
          <w:p w14:paraId="2B6956B0"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Otrzymane zabezpieczenie i gwarancje finansowe</w:t>
            </w:r>
          </w:p>
        </w:tc>
      </w:tr>
      <w:tr w:rsidR="00ED417D" w:rsidRPr="00ED417D" w14:paraId="3AC2BB08" w14:textId="77777777" w:rsidTr="00F42CDB">
        <w:tc>
          <w:tcPr>
            <w:tcW w:w="421" w:type="dxa"/>
            <w:vMerge/>
            <w:tcBorders>
              <w:left w:val="nil"/>
              <w:right w:val="nil"/>
            </w:tcBorders>
          </w:tcPr>
          <w:p w14:paraId="4E0D4AB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997" w:type="dxa"/>
            <w:vMerge/>
            <w:tcBorders>
              <w:left w:val="nil"/>
            </w:tcBorders>
          </w:tcPr>
          <w:p w14:paraId="6EF8DF1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126" w:type="dxa"/>
            <w:gridSpan w:val="3"/>
          </w:tcPr>
          <w:p w14:paraId="5C929F09"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Ekspozycje obsługiwane</w:t>
            </w:r>
          </w:p>
        </w:tc>
        <w:tc>
          <w:tcPr>
            <w:tcW w:w="1808" w:type="dxa"/>
            <w:gridSpan w:val="4"/>
          </w:tcPr>
          <w:p w14:paraId="7FEC12E1"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Ekspozycje nieobsługiwane</w:t>
            </w:r>
          </w:p>
        </w:tc>
        <w:tc>
          <w:tcPr>
            <w:tcW w:w="2445" w:type="dxa"/>
            <w:gridSpan w:val="4"/>
          </w:tcPr>
          <w:p w14:paraId="1E9D302F"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Ekspozycje obsługiwane – skumulowana utrata wartości i rezerwy</w:t>
            </w:r>
          </w:p>
        </w:tc>
        <w:tc>
          <w:tcPr>
            <w:tcW w:w="2693" w:type="dxa"/>
            <w:gridSpan w:val="3"/>
          </w:tcPr>
          <w:p w14:paraId="0F4E4B07"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Ekspozycje nieobsługiwane – skumulowana utrata wartości, skumulowane ujemne zmiany wartości godziwej z powodu ryzyka kredytowego i rezerw</w:t>
            </w:r>
          </w:p>
        </w:tc>
        <w:tc>
          <w:tcPr>
            <w:tcW w:w="1134" w:type="dxa"/>
            <w:vMerge/>
          </w:tcPr>
          <w:p w14:paraId="49A0F7C0" w14:textId="77777777" w:rsidR="008F084B" w:rsidRPr="00F42CDB" w:rsidRDefault="008F084B" w:rsidP="00CD0946">
            <w:pPr>
              <w:jc w:val="both"/>
              <w:rPr>
                <w:rFonts w:ascii="Times New Roman" w:eastAsia="Times New Roman" w:hAnsi="Times New Roman" w:cs="Times New Roman"/>
                <w:sz w:val="18"/>
                <w:szCs w:val="20"/>
                <w:lang w:eastAsia="pl-PL"/>
              </w:rPr>
            </w:pPr>
          </w:p>
        </w:tc>
        <w:tc>
          <w:tcPr>
            <w:tcW w:w="1417" w:type="dxa"/>
          </w:tcPr>
          <w:p w14:paraId="3F4D6109" w14:textId="77777777" w:rsidR="008F084B" w:rsidRPr="00F42CDB" w:rsidRDefault="008F084B" w:rsidP="00CD0946">
            <w:pPr>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Z tytułu ekspozycji obsługiwanych</w:t>
            </w:r>
          </w:p>
        </w:tc>
        <w:tc>
          <w:tcPr>
            <w:tcW w:w="1593" w:type="dxa"/>
          </w:tcPr>
          <w:p w14:paraId="16905968" w14:textId="77777777" w:rsidR="008F084B" w:rsidRPr="00F42CDB" w:rsidRDefault="008F084B" w:rsidP="00CD0946">
            <w:pPr>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Z tytułu ekspozycji nieobsługiwanych</w:t>
            </w:r>
          </w:p>
        </w:tc>
      </w:tr>
      <w:tr w:rsidR="00ED417D" w:rsidRPr="00ED417D" w14:paraId="26A691F5" w14:textId="77777777" w:rsidTr="00F42CDB">
        <w:tc>
          <w:tcPr>
            <w:tcW w:w="421" w:type="dxa"/>
            <w:vMerge/>
            <w:tcBorders>
              <w:left w:val="nil"/>
              <w:right w:val="nil"/>
            </w:tcBorders>
          </w:tcPr>
          <w:p w14:paraId="5B8DE9F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997" w:type="dxa"/>
            <w:vMerge/>
            <w:tcBorders>
              <w:left w:val="nil"/>
            </w:tcBorders>
          </w:tcPr>
          <w:p w14:paraId="6E565EB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tcBorders>
              <w:top w:val="nil"/>
            </w:tcBorders>
          </w:tcPr>
          <w:p w14:paraId="027C30C1" w14:textId="77777777" w:rsidR="008F084B" w:rsidRPr="00F42CDB" w:rsidRDefault="008F084B" w:rsidP="00CD0946">
            <w:pPr>
              <w:jc w:val="both"/>
              <w:rPr>
                <w:rFonts w:ascii="Times New Roman" w:eastAsia="Times New Roman" w:hAnsi="Times New Roman" w:cs="Times New Roman"/>
                <w:sz w:val="18"/>
                <w:szCs w:val="20"/>
                <w:lang w:eastAsia="pl-PL"/>
              </w:rPr>
            </w:pPr>
          </w:p>
        </w:tc>
        <w:tc>
          <w:tcPr>
            <w:tcW w:w="425" w:type="dxa"/>
            <w:tcBorders>
              <w:bottom w:val="single" w:sz="4" w:space="0" w:color="auto"/>
            </w:tcBorders>
          </w:tcPr>
          <w:p w14:paraId="71671E46"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1</w:t>
            </w:r>
          </w:p>
        </w:tc>
        <w:tc>
          <w:tcPr>
            <w:tcW w:w="567" w:type="dxa"/>
            <w:tcBorders>
              <w:bottom w:val="single" w:sz="4" w:space="0" w:color="auto"/>
            </w:tcBorders>
          </w:tcPr>
          <w:p w14:paraId="1C014C2F"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2</w:t>
            </w:r>
          </w:p>
        </w:tc>
        <w:tc>
          <w:tcPr>
            <w:tcW w:w="709" w:type="dxa"/>
          </w:tcPr>
          <w:p w14:paraId="78D46F14" w14:textId="77777777" w:rsidR="008F084B" w:rsidRPr="00F42CDB" w:rsidRDefault="008F084B" w:rsidP="00CD0946">
            <w:pPr>
              <w:jc w:val="both"/>
              <w:rPr>
                <w:rFonts w:ascii="Times New Roman" w:eastAsia="Times New Roman" w:hAnsi="Times New Roman" w:cs="Times New Roman"/>
                <w:sz w:val="18"/>
                <w:szCs w:val="20"/>
                <w:lang w:eastAsia="pl-PL"/>
              </w:rPr>
            </w:pPr>
          </w:p>
        </w:tc>
        <w:tc>
          <w:tcPr>
            <w:tcW w:w="283" w:type="dxa"/>
          </w:tcPr>
          <w:p w14:paraId="08B64177"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2</w:t>
            </w:r>
          </w:p>
        </w:tc>
        <w:tc>
          <w:tcPr>
            <w:tcW w:w="806" w:type="dxa"/>
          </w:tcPr>
          <w:p w14:paraId="52FA149F"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3</w:t>
            </w:r>
          </w:p>
        </w:tc>
        <w:tc>
          <w:tcPr>
            <w:tcW w:w="470" w:type="dxa"/>
            <w:gridSpan w:val="3"/>
          </w:tcPr>
          <w:p w14:paraId="5EF5FFE9" w14:textId="77777777" w:rsidR="008F084B" w:rsidRPr="00F42CDB" w:rsidRDefault="008F084B" w:rsidP="00CD0946">
            <w:pPr>
              <w:jc w:val="both"/>
              <w:rPr>
                <w:rFonts w:ascii="Times New Roman" w:eastAsia="Times New Roman" w:hAnsi="Times New Roman" w:cs="Times New Roman"/>
                <w:sz w:val="18"/>
                <w:szCs w:val="20"/>
                <w:lang w:eastAsia="pl-PL"/>
              </w:rPr>
            </w:pPr>
          </w:p>
        </w:tc>
        <w:tc>
          <w:tcPr>
            <w:tcW w:w="851" w:type="dxa"/>
          </w:tcPr>
          <w:p w14:paraId="1E6779EB"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1</w:t>
            </w:r>
          </w:p>
        </w:tc>
        <w:tc>
          <w:tcPr>
            <w:tcW w:w="1134" w:type="dxa"/>
          </w:tcPr>
          <w:p w14:paraId="02BCF1E9"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2</w:t>
            </w:r>
          </w:p>
        </w:tc>
        <w:tc>
          <w:tcPr>
            <w:tcW w:w="567" w:type="dxa"/>
          </w:tcPr>
          <w:p w14:paraId="25991A57" w14:textId="77777777" w:rsidR="008F084B" w:rsidRPr="00F42CDB" w:rsidRDefault="008F084B" w:rsidP="00CD0946">
            <w:pPr>
              <w:jc w:val="both"/>
              <w:rPr>
                <w:rFonts w:ascii="Times New Roman" w:eastAsia="Times New Roman" w:hAnsi="Times New Roman" w:cs="Times New Roman"/>
                <w:sz w:val="18"/>
                <w:szCs w:val="20"/>
                <w:lang w:eastAsia="pl-PL"/>
              </w:rPr>
            </w:pPr>
          </w:p>
        </w:tc>
        <w:tc>
          <w:tcPr>
            <w:tcW w:w="850" w:type="dxa"/>
          </w:tcPr>
          <w:p w14:paraId="7D9432E7"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2</w:t>
            </w:r>
          </w:p>
        </w:tc>
        <w:tc>
          <w:tcPr>
            <w:tcW w:w="1276" w:type="dxa"/>
          </w:tcPr>
          <w:p w14:paraId="3971BAB5" w14:textId="77777777" w:rsidR="008F084B" w:rsidRPr="00F42CDB" w:rsidRDefault="008F084B" w:rsidP="00CD0946">
            <w:pPr>
              <w:jc w:val="both"/>
              <w:rPr>
                <w:rFonts w:ascii="Times New Roman" w:eastAsia="Times New Roman" w:hAnsi="Times New Roman" w:cs="Times New Roman"/>
                <w:sz w:val="18"/>
                <w:szCs w:val="20"/>
                <w:lang w:eastAsia="pl-PL"/>
              </w:rPr>
            </w:pPr>
            <w:r w:rsidRPr="00F42CDB">
              <w:rPr>
                <w:rFonts w:ascii="Times New Roman" w:eastAsia="Times New Roman" w:hAnsi="Times New Roman" w:cs="Times New Roman"/>
                <w:sz w:val="18"/>
                <w:szCs w:val="20"/>
                <w:lang w:eastAsia="pl-PL"/>
              </w:rPr>
              <w:t>W tym etap 3</w:t>
            </w:r>
          </w:p>
        </w:tc>
        <w:tc>
          <w:tcPr>
            <w:tcW w:w="1134" w:type="dxa"/>
            <w:shd w:val="clear" w:color="auto" w:fill="FFC000"/>
          </w:tcPr>
          <w:p w14:paraId="5B149615" w14:textId="77777777" w:rsidR="008F084B" w:rsidRPr="00F42CDB" w:rsidRDefault="008F084B" w:rsidP="00CD0946">
            <w:pPr>
              <w:jc w:val="both"/>
              <w:rPr>
                <w:rFonts w:ascii="Times New Roman" w:eastAsia="Times New Roman" w:hAnsi="Times New Roman" w:cs="Times New Roman"/>
                <w:sz w:val="20"/>
                <w:szCs w:val="20"/>
                <w:lang w:eastAsia="pl-PL"/>
              </w:rPr>
            </w:pPr>
          </w:p>
        </w:tc>
        <w:tc>
          <w:tcPr>
            <w:tcW w:w="1417" w:type="dxa"/>
            <w:shd w:val="clear" w:color="auto" w:fill="FFC000"/>
          </w:tcPr>
          <w:p w14:paraId="3FCE85C9" w14:textId="77777777" w:rsidR="008F084B" w:rsidRPr="00F42CDB" w:rsidRDefault="008F084B" w:rsidP="00CD0946">
            <w:pPr>
              <w:jc w:val="both"/>
              <w:rPr>
                <w:rFonts w:ascii="Times New Roman" w:eastAsia="Times New Roman" w:hAnsi="Times New Roman" w:cs="Times New Roman"/>
                <w:sz w:val="20"/>
                <w:szCs w:val="20"/>
                <w:lang w:eastAsia="pl-PL"/>
              </w:rPr>
            </w:pPr>
          </w:p>
        </w:tc>
        <w:tc>
          <w:tcPr>
            <w:tcW w:w="1593" w:type="dxa"/>
          </w:tcPr>
          <w:p w14:paraId="70EF47E8" w14:textId="77777777" w:rsidR="008F084B" w:rsidRPr="00F42CDB" w:rsidRDefault="008F084B" w:rsidP="00CD0946">
            <w:pPr>
              <w:jc w:val="both"/>
              <w:rPr>
                <w:rFonts w:ascii="Times New Roman" w:eastAsia="Times New Roman" w:hAnsi="Times New Roman" w:cs="Times New Roman"/>
                <w:sz w:val="20"/>
                <w:szCs w:val="20"/>
                <w:lang w:eastAsia="pl-PL"/>
              </w:rPr>
            </w:pPr>
          </w:p>
        </w:tc>
      </w:tr>
      <w:tr w:rsidR="00ED417D" w:rsidRPr="00ED417D" w14:paraId="7B772D33" w14:textId="77777777" w:rsidTr="00F42CDB">
        <w:tc>
          <w:tcPr>
            <w:tcW w:w="421" w:type="dxa"/>
          </w:tcPr>
          <w:p w14:paraId="5F3A3573" w14:textId="77777777" w:rsidR="008F084B" w:rsidRPr="00F42CDB" w:rsidRDefault="008F084B" w:rsidP="00CD0946">
            <w:pPr>
              <w:jc w:val="both"/>
              <w:rPr>
                <w:rFonts w:ascii="Times New Roman" w:eastAsia="Times New Roman" w:hAnsi="Times New Roman" w:cs="Times New Roman"/>
                <w:sz w:val="20"/>
                <w:szCs w:val="20"/>
                <w:lang w:eastAsia="pl-PL"/>
              </w:rPr>
            </w:pPr>
            <w:r w:rsidRPr="00F42CDB">
              <w:rPr>
                <w:rFonts w:ascii="Times New Roman" w:eastAsia="Times New Roman" w:hAnsi="Times New Roman" w:cs="Times New Roman"/>
                <w:sz w:val="20"/>
                <w:szCs w:val="20"/>
                <w:lang w:eastAsia="pl-PL"/>
              </w:rPr>
              <w:t>1</w:t>
            </w:r>
          </w:p>
        </w:tc>
        <w:tc>
          <w:tcPr>
            <w:tcW w:w="997" w:type="dxa"/>
          </w:tcPr>
          <w:p w14:paraId="572167A0" w14:textId="77777777" w:rsidR="008F084B" w:rsidRPr="00F42CDB" w:rsidRDefault="008F084B" w:rsidP="00CD0946">
            <w:pPr>
              <w:autoSpaceDE w:val="0"/>
              <w:autoSpaceDN w:val="0"/>
              <w:adjustRightInd w:val="0"/>
              <w:rPr>
                <w:rFonts w:ascii="Times New Roman" w:eastAsia="Calibri" w:hAnsi="Times New Roman" w:cs="Times New Roman"/>
                <w:b/>
                <w:sz w:val="18"/>
                <w:szCs w:val="20"/>
              </w:rPr>
            </w:pPr>
            <w:r w:rsidRPr="00F42CDB">
              <w:rPr>
                <w:rFonts w:ascii="Times New Roman" w:eastAsia="Calibri" w:hAnsi="Times New Roman" w:cs="Times New Roman"/>
                <w:b/>
                <w:sz w:val="18"/>
                <w:szCs w:val="20"/>
              </w:rPr>
              <w:t xml:space="preserve">Kredyty i zaliczki </w:t>
            </w:r>
          </w:p>
          <w:p w14:paraId="37913FB7" w14:textId="77777777" w:rsidR="008F084B" w:rsidRPr="00F42CDB" w:rsidRDefault="008F084B" w:rsidP="00CD0946">
            <w:pPr>
              <w:rPr>
                <w:rFonts w:ascii="Times New Roman" w:eastAsia="Times New Roman" w:hAnsi="Times New Roman" w:cs="Times New Roman"/>
                <w:sz w:val="18"/>
                <w:szCs w:val="20"/>
                <w:lang w:eastAsia="pl-PL"/>
              </w:rPr>
            </w:pPr>
          </w:p>
        </w:tc>
        <w:tc>
          <w:tcPr>
            <w:tcW w:w="1134" w:type="dxa"/>
          </w:tcPr>
          <w:p w14:paraId="5A461A1C" w14:textId="452B127A" w:rsidR="008F084B" w:rsidRPr="00F42CDB" w:rsidRDefault="00F42CDB" w:rsidP="00CD0946">
            <w:pPr>
              <w:jc w:val="both"/>
              <w:rPr>
                <w:rFonts w:ascii="Times New Roman" w:eastAsia="Times New Roman" w:hAnsi="Times New Roman" w:cs="Times New Roman"/>
                <w:sz w:val="20"/>
                <w:szCs w:val="20"/>
                <w:lang w:eastAsia="pl-PL"/>
              </w:rPr>
            </w:pPr>
            <w:r w:rsidRPr="00F42CDB">
              <w:rPr>
                <w:rFonts w:ascii="Times New Roman" w:eastAsia="Times New Roman" w:hAnsi="Times New Roman" w:cs="Times New Roman"/>
                <w:sz w:val="20"/>
                <w:szCs w:val="20"/>
                <w:lang w:eastAsia="pl-PL"/>
              </w:rPr>
              <w:t>113 63</w:t>
            </w:r>
            <w:r>
              <w:rPr>
                <w:rFonts w:ascii="Times New Roman" w:eastAsia="Times New Roman" w:hAnsi="Times New Roman" w:cs="Times New Roman"/>
                <w:sz w:val="20"/>
                <w:szCs w:val="20"/>
                <w:lang w:eastAsia="pl-PL"/>
              </w:rPr>
              <w:t>9</w:t>
            </w:r>
          </w:p>
        </w:tc>
        <w:tc>
          <w:tcPr>
            <w:tcW w:w="425" w:type="dxa"/>
            <w:shd w:val="clear" w:color="auto" w:fill="808080"/>
          </w:tcPr>
          <w:p w14:paraId="4E647AB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7FC4907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32E6810B" w14:textId="5DD5FEF0" w:rsidR="008F084B" w:rsidRPr="00ED417D" w:rsidRDefault="00BA65AE" w:rsidP="00CD0946">
            <w:pPr>
              <w:jc w:val="both"/>
              <w:rPr>
                <w:rFonts w:ascii="Times New Roman" w:eastAsia="Times New Roman" w:hAnsi="Times New Roman" w:cs="Times New Roman"/>
                <w:color w:val="FF0000"/>
                <w:sz w:val="20"/>
                <w:szCs w:val="20"/>
                <w:lang w:eastAsia="pl-PL"/>
              </w:rPr>
            </w:pPr>
            <w:r w:rsidRPr="00F42CDB">
              <w:rPr>
                <w:rFonts w:ascii="Times New Roman" w:eastAsia="Times New Roman" w:hAnsi="Times New Roman" w:cs="Times New Roman"/>
                <w:sz w:val="20"/>
                <w:szCs w:val="20"/>
                <w:lang w:eastAsia="pl-PL"/>
              </w:rPr>
              <w:t>1</w:t>
            </w:r>
            <w:r w:rsidR="00F42CDB" w:rsidRPr="00F42CDB">
              <w:rPr>
                <w:rFonts w:ascii="Times New Roman" w:eastAsia="Times New Roman" w:hAnsi="Times New Roman" w:cs="Times New Roman"/>
                <w:sz w:val="20"/>
                <w:szCs w:val="20"/>
                <w:lang w:eastAsia="pl-PL"/>
              </w:rPr>
              <w:t>846</w:t>
            </w:r>
          </w:p>
        </w:tc>
        <w:tc>
          <w:tcPr>
            <w:tcW w:w="283" w:type="dxa"/>
            <w:shd w:val="clear" w:color="auto" w:fill="808080"/>
          </w:tcPr>
          <w:p w14:paraId="4FF140D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5503FC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22ABBBCB" w14:textId="65F87D9C" w:rsidR="008F084B" w:rsidRPr="00F42CDB" w:rsidRDefault="00BA65AE" w:rsidP="00CD0946">
            <w:pPr>
              <w:jc w:val="both"/>
              <w:rPr>
                <w:rFonts w:ascii="Times New Roman" w:eastAsia="Times New Roman" w:hAnsi="Times New Roman" w:cs="Times New Roman"/>
                <w:sz w:val="20"/>
                <w:szCs w:val="20"/>
                <w:lang w:eastAsia="pl-PL"/>
              </w:rPr>
            </w:pPr>
            <w:r w:rsidRPr="00F42CDB">
              <w:rPr>
                <w:rFonts w:ascii="Times New Roman" w:eastAsia="Times New Roman" w:hAnsi="Times New Roman" w:cs="Times New Roman"/>
                <w:sz w:val="20"/>
                <w:szCs w:val="20"/>
                <w:lang w:eastAsia="pl-PL"/>
              </w:rPr>
              <w:t>3</w:t>
            </w:r>
            <w:r w:rsidR="00F42CDB" w:rsidRPr="00F42CDB">
              <w:rPr>
                <w:rFonts w:ascii="Times New Roman" w:eastAsia="Times New Roman" w:hAnsi="Times New Roman" w:cs="Times New Roman"/>
                <w:sz w:val="20"/>
                <w:szCs w:val="20"/>
                <w:lang w:eastAsia="pl-PL"/>
              </w:rPr>
              <w:t>1</w:t>
            </w:r>
          </w:p>
        </w:tc>
        <w:tc>
          <w:tcPr>
            <w:tcW w:w="851" w:type="dxa"/>
            <w:shd w:val="clear" w:color="auto" w:fill="808080"/>
          </w:tcPr>
          <w:p w14:paraId="31501005" w14:textId="77777777" w:rsidR="008F084B" w:rsidRPr="00F42CDB" w:rsidRDefault="008F084B" w:rsidP="00CD0946">
            <w:pPr>
              <w:jc w:val="both"/>
              <w:rPr>
                <w:rFonts w:ascii="Times New Roman" w:eastAsia="Times New Roman" w:hAnsi="Times New Roman" w:cs="Times New Roman"/>
                <w:sz w:val="20"/>
                <w:szCs w:val="20"/>
                <w:lang w:eastAsia="pl-PL"/>
              </w:rPr>
            </w:pPr>
          </w:p>
        </w:tc>
        <w:tc>
          <w:tcPr>
            <w:tcW w:w="1134" w:type="dxa"/>
            <w:shd w:val="clear" w:color="auto" w:fill="808080"/>
          </w:tcPr>
          <w:p w14:paraId="67836F46" w14:textId="77777777" w:rsidR="008F084B" w:rsidRPr="00F42CDB" w:rsidRDefault="008F084B" w:rsidP="00CD0946">
            <w:pPr>
              <w:jc w:val="both"/>
              <w:rPr>
                <w:rFonts w:ascii="Times New Roman" w:eastAsia="Times New Roman" w:hAnsi="Times New Roman" w:cs="Times New Roman"/>
                <w:sz w:val="20"/>
                <w:szCs w:val="20"/>
                <w:lang w:eastAsia="pl-PL"/>
              </w:rPr>
            </w:pPr>
          </w:p>
        </w:tc>
        <w:tc>
          <w:tcPr>
            <w:tcW w:w="567" w:type="dxa"/>
          </w:tcPr>
          <w:p w14:paraId="3850BA01" w14:textId="2FC24299" w:rsidR="008F084B" w:rsidRPr="00F42CDB" w:rsidRDefault="00F42CDB" w:rsidP="00CD0946">
            <w:pPr>
              <w:jc w:val="both"/>
              <w:rPr>
                <w:rFonts w:ascii="Times New Roman" w:eastAsia="Times New Roman" w:hAnsi="Times New Roman" w:cs="Times New Roman"/>
                <w:sz w:val="20"/>
                <w:szCs w:val="20"/>
                <w:lang w:eastAsia="pl-PL"/>
              </w:rPr>
            </w:pPr>
            <w:r w:rsidRPr="00F42CDB">
              <w:rPr>
                <w:rFonts w:ascii="Times New Roman" w:eastAsia="Times New Roman" w:hAnsi="Times New Roman" w:cs="Times New Roman"/>
                <w:sz w:val="20"/>
                <w:szCs w:val="20"/>
                <w:lang w:eastAsia="pl-PL"/>
              </w:rPr>
              <w:t>945</w:t>
            </w:r>
          </w:p>
        </w:tc>
        <w:tc>
          <w:tcPr>
            <w:tcW w:w="850" w:type="dxa"/>
            <w:shd w:val="clear" w:color="auto" w:fill="808080"/>
          </w:tcPr>
          <w:p w14:paraId="0BFC8F95" w14:textId="77777777" w:rsidR="008F084B" w:rsidRPr="00F42CDB" w:rsidRDefault="008F084B" w:rsidP="00CD0946">
            <w:pPr>
              <w:jc w:val="both"/>
              <w:rPr>
                <w:rFonts w:ascii="Times New Roman" w:eastAsia="Times New Roman" w:hAnsi="Times New Roman" w:cs="Times New Roman"/>
                <w:sz w:val="20"/>
                <w:szCs w:val="20"/>
                <w:lang w:eastAsia="pl-PL"/>
              </w:rPr>
            </w:pPr>
          </w:p>
        </w:tc>
        <w:tc>
          <w:tcPr>
            <w:tcW w:w="1276" w:type="dxa"/>
            <w:shd w:val="clear" w:color="auto" w:fill="808080"/>
          </w:tcPr>
          <w:p w14:paraId="731D0B1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3C3F418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61C1BFA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60E2E4F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416D1B96" w14:textId="77777777" w:rsidTr="00F42CDB">
        <w:tc>
          <w:tcPr>
            <w:tcW w:w="421" w:type="dxa"/>
          </w:tcPr>
          <w:p w14:paraId="260DEA53" w14:textId="77777777" w:rsidR="008F084B" w:rsidRPr="00F42CDB" w:rsidRDefault="008F084B" w:rsidP="00CD0946">
            <w:pPr>
              <w:jc w:val="both"/>
              <w:rPr>
                <w:rFonts w:ascii="Times New Roman" w:eastAsia="Times New Roman" w:hAnsi="Times New Roman" w:cs="Times New Roman"/>
                <w:sz w:val="20"/>
                <w:szCs w:val="20"/>
                <w:lang w:eastAsia="pl-PL"/>
              </w:rPr>
            </w:pPr>
            <w:r w:rsidRPr="00F42CDB">
              <w:rPr>
                <w:rFonts w:ascii="Times New Roman" w:eastAsia="Times New Roman" w:hAnsi="Times New Roman" w:cs="Times New Roman"/>
                <w:sz w:val="20"/>
                <w:szCs w:val="20"/>
                <w:lang w:eastAsia="pl-PL"/>
              </w:rPr>
              <w:t>2</w:t>
            </w:r>
          </w:p>
        </w:tc>
        <w:tc>
          <w:tcPr>
            <w:tcW w:w="997" w:type="dxa"/>
          </w:tcPr>
          <w:p w14:paraId="7EE34219" w14:textId="77777777" w:rsidR="008F084B" w:rsidRPr="00F42CDB" w:rsidRDefault="008F084B" w:rsidP="00CD0946">
            <w:pPr>
              <w:autoSpaceDE w:val="0"/>
              <w:autoSpaceDN w:val="0"/>
              <w:adjustRightInd w:val="0"/>
              <w:rPr>
                <w:rFonts w:ascii="Times New Roman" w:eastAsia="Calibri" w:hAnsi="Times New Roman" w:cs="Times New Roman"/>
                <w:sz w:val="18"/>
                <w:szCs w:val="20"/>
              </w:rPr>
            </w:pPr>
            <w:r w:rsidRPr="00F42CDB">
              <w:rPr>
                <w:rFonts w:ascii="Times New Roman" w:eastAsia="Calibri" w:hAnsi="Times New Roman" w:cs="Times New Roman"/>
                <w:iCs/>
                <w:sz w:val="18"/>
                <w:szCs w:val="20"/>
              </w:rPr>
              <w:t xml:space="preserve">Banki centralne </w:t>
            </w:r>
          </w:p>
          <w:p w14:paraId="6F6BB204" w14:textId="77777777" w:rsidR="008F084B" w:rsidRPr="00F42CDB" w:rsidRDefault="008F084B" w:rsidP="00CD0946">
            <w:pPr>
              <w:rPr>
                <w:rFonts w:ascii="Times New Roman" w:eastAsia="Times New Roman" w:hAnsi="Times New Roman" w:cs="Times New Roman"/>
                <w:sz w:val="18"/>
                <w:szCs w:val="20"/>
                <w:lang w:eastAsia="pl-PL"/>
              </w:rPr>
            </w:pPr>
          </w:p>
        </w:tc>
        <w:tc>
          <w:tcPr>
            <w:tcW w:w="1134" w:type="dxa"/>
          </w:tcPr>
          <w:p w14:paraId="119923E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25" w:type="dxa"/>
            <w:shd w:val="clear" w:color="auto" w:fill="808080"/>
          </w:tcPr>
          <w:p w14:paraId="3B028C9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6BD9320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066061C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3A94BEA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763DE7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4D598EF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FCE3B3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25C2DAF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3F5706E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08AFB4B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57B4953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45CC41E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480A2C1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494A460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709B690D" w14:textId="77777777" w:rsidTr="00F42CDB">
        <w:tc>
          <w:tcPr>
            <w:tcW w:w="421" w:type="dxa"/>
          </w:tcPr>
          <w:p w14:paraId="11C8274E"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lastRenderedPageBreak/>
              <w:t>3</w:t>
            </w:r>
          </w:p>
        </w:tc>
        <w:tc>
          <w:tcPr>
            <w:tcW w:w="997" w:type="dxa"/>
          </w:tcPr>
          <w:p w14:paraId="46989EB2"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rządowe </w:t>
            </w:r>
          </w:p>
          <w:p w14:paraId="680CF7D1"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548BEF02" w14:textId="706512BA"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20604</w:t>
            </w:r>
          </w:p>
        </w:tc>
        <w:tc>
          <w:tcPr>
            <w:tcW w:w="425" w:type="dxa"/>
            <w:shd w:val="clear" w:color="auto" w:fill="808080"/>
          </w:tcPr>
          <w:p w14:paraId="175CF0A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6388F0B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178853B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64011B4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1981482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0FBA626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C5CE50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12CB037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11503EC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4E841BC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3D2A547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1BF75BC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7B87E4F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27688AA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3AD36B1F" w14:textId="77777777" w:rsidTr="00F42CDB">
        <w:tc>
          <w:tcPr>
            <w:tcW w:w="421" w:type="dxa"/>
          </w:tcPr>
          <w:p w14:paraId="151A0FC3"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w:t>
            </w:r>
          </w:p>
        </w:tc>
        <w:tc>
          <w:tcPr>
            <w:tcW w:w="997" w:type="dxa"/>
          </w:tcPr>
          <w:p w14:paraId="23DB5F05"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kredytowe </w:t>
            </w:r>
          </w:p>
          <w:p w14:paraId="31D8F89E"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6BC688E8" w14:textId="5E6C88AC"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9</w:t>
            </w:r>
            <w:r w:rsidR="00FC112D" w:rsidRPr="00FC112D">
              <w:rPr>
                <w:rFonts w:ascii="Times New Roman" w:eastAsia="Times New Roman" w:hAnsi="Times New Roman" w:cs="Times New Roman"/>
                <w:sz w:val="20"/>
                <w:szCs w:val="20"/>
                <w:lang w:eastAsia="pl-PL"/>
              </w:rPr>
              <w:t>838</w:t>
            </w:r>
          </w:p>
        </w:tc>
        <w:tc>
          <w:tcPr>
            <w:tcW w:w="425" w:type="dxa"/>
            <w:shd w:val="clear" w:color="auto" w:fill="808080"/>
          </w:tcPr>
          <w:p w14:paraId="3A7F1F5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39E3595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61E7A35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0E73268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29A4A5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2423772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F9FC56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2F64C1E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476FB1D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2305F5F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36BA10C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1B22421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0C4D3A4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09C08C4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3AD76A55" w14:textId="77777777" w:rsidTr="00F42CDB">
        <w:tc>
          <w:tcPr>
            <w:tcW w:w="421" w:type="dxa"/>
          </w:tcPr>
          <w:p w14:paraId="5BC1557C"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5</w:t>
            </w:r>
          </w:p>
        </w:tc>
        <w:tc>
          <w:tcPr>
            <w:tcW w:w="997" w:type="dxa"/>
          </w:tcPr>
          <w:p w14:paraId="22F94BFE"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Inne instytucje finansowe </w:t>
            </w:r>
          </w:p>
          <w:p w14:paraId="50E50FDC"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7E9E5AC9" w14:textId="4A126FD4"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507</w:t>
            </w:r>
          </w:p>
        </w:tc>
        <w:tc>
          <w:tcPr>
            <w:tcW w:w="425" w:type="dxa"/>
            <w:shd w:val="clear" w:color="auto" w:fill="808080"/>
          </w:tcPr>
          <w:p w14:paraId="1C0DD87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5A371CD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0F5A070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0BCC3D6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355BA80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1849DCB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64A495C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191373A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1A4783A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4492CF9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4F33EFD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1683CB5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591D8F9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5E1A87C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0708D359" w14:textId="77777777" w:rsidTr="00F42CDB">
        <w:tc>
          <w:tcPr>
            <w:tcW w:w="421" w:type="dxa"/>
          </w:tcPr>
          <w:p w14:paraId="75170994"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6</w:t>
            </w:r>
          </w:p>
        </w:tc>
        <w:tc>
          <w:tcPr>
            <w:tcW w:w="997" w:type="dxa"/>
          </w:tcPr>
          <w:p w14:paraId="0FD776A5"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Przedsiębiorstwa niefinansowe </w:t>
            </w:r>
          </w:p>
          <w:p w14:paraId="57EF3F6D"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10612E3D" w14:textId="4344ABC6"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w:t>
            </w:r>
            <w:r w:rsidR="00FC112D" w:rsidRPr="00FC112D">
              <w:rPr>
                <w:rFonts w:ascii="Times New Roman" w:eastAsia="Times New Roman" w:hAnsi="Times New Roman" w:cs="Times New Roman"/>
                <w:sz w:val="20"/>
                <w:szCs w:val="20"/>
                <w:lang w:eastAsia="pl-PL"/>
              </w:rPr>
              <w:t>1298</w:t>
            </w:r>
          </w:p>
        </w:tc>
        <w:tc>
          <w:tcPr>
            <w:tcW w:w="425" w:type="dxa"/>
            <w:shd w:val="clear" w:color="auto" w:fill="808080"/>
          </w:tcPr>
          <w:p w14:paraId="7B37946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1E442C4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tcPr>
          <w:p w14:paraId="38625304" w14:textId="60A97511"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w:t>
            </w:r>
            <w:r w:rsidR="00FC112D" w:rsidRPr="00FC112D">
              <w:rPr>
                <w:rFonts w:ascii="Times New Roman" w:eastAsia="Times New Roman" w:hAnsi="Times New Roman" w:cs="Times New Roman"/>
                <w:sz w:val="20"/>
                <w:szCs w:val="20"/>
                <w:lang w:eastAsia="pl-PL"/>
              </w:rPr>
              <w:t>1</w:t>
            </w:r>
          </w:p>
        </w:tc>
        <w:tc>
          <w:tcPr>
            <w:tcW w:w="283" w:type="dxa"/>
            <w:shd w:val="clear" w:color="auto" w:fill="808080"/>
          </w:tcPr>
          <w:p w14:paraId="2F178A09"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806" w:type="dxa"/>
            <w:shd w:val="clear" w:color="auto" w:fill="808080"/>
          </w:tcPr>
          <w:p w14:paraId="35173CF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70" w:type="dxa"/>
            <w:gridSpan w:val="3"/>
          </w:tcPr>
          <w:p w14:paraId="578B4E7C" w14:textId="5FFCECDC" w:rsidR="008F084B" w:rsidRPr="00FC112D" w:rsidRDefault="008F084B" w:rsidP="00CD0946">
            <w:pPr>
              <w:jc w:val="both"/>
              <w:rPr>
                <w:rFonts w:ascii="Times New Roman" w:eastAsia="Times New Roman" w:hAnsi="Times New Roman" w:cs="Times New Roman"/>
                <w:sz w:val="20"/>
                <w:szCs w:val="20"/>
                <w:lang w:eastAsia="pl-PL"/>
              </w:rPr>
            </w:pPr>
          </w:p>
        </w:tc>
        <w:tc>
          <w:tcPr>
            <w:tcW w:w="851" w:type="dxa"/>
            <w:shd w:val="clear" w:color="auto" w:fill="808080"/>
          </w:tcPr>
          <w:p w14:paraId="164EDB11"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1134" w:type="dxa"/>
            <w:shd w:val="clear" w:color="auto" w:fill="808080"/>
          </w:tcPr>
          <w:p w14:paraId="6A36E3DB"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tcPr>
          <w:p w14:paraId="56D029BD" w14:textId="7364267C"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w:t>
            </w:r>
            <w:r w:rsidR="00FC112D" w:rsidRPr="00FC112D">
              <w:rPr>
                <w:rFonts w:ascii="Times New Roman" w:eastAsia="Times New Roman" w:hAnsi="Times New Roman" w:cs="Times New Roman"/>
                <w:sz w:val="20"/>
                <w:szCs w:val="20"/>
                <w:lang w:eastAsia="pl-PL"/>
              </w:rPr>
              <w:t>1</w:t>
            </w:r>
          </w:p>
        </w:tc>
        <w:tc>
          <w:tcPr>
            <w:tcW w:w="850" w:type="dxa"/>
            <w:shd w:val="clear" w:color="auto" w:fill="808080"/>
          </w:tcPr>
          <w:p w14:paraId="0ADE280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07B3664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08664B7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5769E02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13C8524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2AD965AF" w14:textId="77777777" w:rsidTr="00F42CDB">
        <w:tc>
          <w:tcPr>
            <w:tcW w:w="421" w:type="dxa"/>
          </w:tcPr>
          <w:p w14:paraId="78A0AC3C"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7</w:t>
            </w:r>
          </w:p>
        </w:tc>
        <w:tc>
          <w:tcPr>
            <w:tcW w:w="997" w:type="dxa"/>
          </w:tcPr>
          <w:p w14:paraId="46FC6EC3"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W tym MŚP </w:t>
            </w:r>
          </w:p>
          <w:p w14:paraId="5D31F725"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60E32B25" w14:textId="7B802A9C"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w:t>
            </w:r>
            <w:r w:rsidR="00FC112D" w:rsidRPr="00FC112D">
              <w:rPr>
                <w:rFonts w:ascii="Times New Roman" w:eastAsia="Times New Roman" w:hAnsi="Times New Roman" w:cs="Times New Roman"/>
                <w:sz w:val="20"/>
                <w:szCs w:val="20"/>
                <w:lang w:eastAsia="pl-PL"/>
              </w:rPr>
              <w:t>1298</w:t>
            </w:r>
          </w:p>
        </w:tc>
        <w:tc>
          <w:tcPr>
            <w:tcW w:w="425" w:type="dxa"/>
            <w:shd w:val="clear" w:color="auto" w:fill="808080"/>
          </w:tcPr>
          <w:p w14:paraId="05FB0914"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0A98078E"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tcPr>
          <w:p w14:paraId="05668A69" w14:textId="4B78EF6A"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w:t>
            </w:r>
            <w:r w:rsidR="00FC112D" w:rsidRPr="00FC112D">
              <w:rPr>
                <w:rFonts w:ascii="Times New Roman" w:eastAsia="Times New Roman" w:hAnsi="Times New Roman" w:cs="Times New Roman"/>
                <w:sz w:val="20"/>
                <w:szCs w:val="20"/>
                <w:lang w:eastAsia="pl-PL"/>
              </w:rPr>
              <w:t>1</w:t>
            </w:r>
          </w:p>
        </w:tc>
        <w:tc>
          <w:tcPr>
            <w:tcW w:w="283" w:type="dxa"/>
            <w:shd w:val="clear" w:color="auto" w:fill="808080"/>
          </w:tcPr>
          <w:p w14:paraId="49D89DF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806" w:type="dxa"/>
            <w:shd w:val="clear" w:color="auto" w:fill="808080"/>
          </w:tcPr>
          <w:p w14:paraId="16319D19"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70" w:type="dxa"/>
            <w:gridSpan w:val="3"/>
          </w:tcPr>
          <w:p w14:paraId="086485AD" w14:textId="129CE93C" w:rsidR="008F084B" w:rsidRPr="00FC112D" w:rsidRDefault="008F084B" w:rsidP="00CD0946">
            <w:pPr>
              <w:jc w:val="both"/>
              <w:rPr>
                <w:rFonts w:ascii="Times New Roman" w:eastAsia="Times New Roman" w:hAnsi="Times New Roman" w:cs="Times New Roman"/>
                <w:sz w:val="20"/>
                <w:szCs w:val="20"/>
                <w:lang w:eastAsia="pl-PL"/>
              </w:rPr>
            </w:pPr>
          </w:p>
        </w:tc>
        <w:tc>
          <w:tcPr>
            <w:tcW w:w="851" w:type="dxa"/>
            <w:shd w:val="clear" w:color="auto" w:fill="808080"/>
          </w:tcPr>
          <w:p w14:paraId="1368FD2A"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1134" w:type="dxa"/>
            <w:shd w:val="clear" w:color="auto" w:fill="808080"/>
          </w:tcPr>
          <w:p w14:paraId="3DC4FA64"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tcPr>
          <w:p w14:paraId="48C6A8C4" w14:textId="242B830F"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471</w:t>
            </w:r>
          </w:p>
        </w:tc>
        <w:tc>
          <w:tcPr>
            <w:tcW w:w="850" w:type="dxa"/>
            <w:shd w:val="clear" w:color="auto" w:fill="808080"/>
          </w:tcPr>
          <w:p w14:paraId="08454A43"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1276" w:type="dxa"/>
            <w:shd w:val="clear" w:color="auto" w:fill="808080"/>
          </w:tcPr>
          <w:p w14:paraId="653EA4C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2F439E1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5013A1C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1C31501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1E2FBA60" w14:textId="77777777" w:rsidTr="00F42CDB">
        <w:tc>
          <w:tcPr>
            <w:tcW w:w="421" w:type="dxa"/>
          </w:tcPr>
          <w:p w14:paraId="711EA551"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8</w:t>
            </w:r>
          </w:p>
        </w:tc>
        <w:tc>
          <w:tcPr>
            <w:tcW w:w="997" w:type="dxa"/>
          </w:tcPr>
          <w:p w14:paraId="3FB8FDDA"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Gospodarstwa domowe </w:t>
            </w:r>
          </w:p>
          <w:p w14:paraId="36EF5D8D"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17E4BD65" w14:textId="17E23F8B"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50</w:t>
            </w:r>
            <w:r w:rsidR="00FC112D" w:rsidRPr="00FC112D">
              <w:rPr>
                <w:rFonts w:ascii="Times New Roman" w:eastAsia="Times New Roman" w:hAnsi="Times New Roman" w:cs="Times New Roman"/>
                <w:sz w:val="20"/>
                <w:szCs w:val="20"/>
                <w:lang w:eastAsia="pl-PL"/>
              </w:rPr>
              <w:t>016</w:t>
            </w:r>
          </w:p>
        </w:tc>
        <w:tc>
          <w:tcPr>
            <w:tcW w:w="425" w:type="dxa"/>
            <w:shd w:val="clear" w:color="auto" w:fill="808080"/>
          </w:tcPr>
          <w:p w14:paraId="3D4296FF"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3EA77D2B"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tcPr>
          <w:p w14:paraId="3A79ADDE" w14:textId="6CC08677"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1375</w:t>
            </w:r>
          </w:p>
        </w:tc>
        <w:tc>
          <w:tcPr>
            <w:tcW w:w="283" w:type="dxa"/>
            <w:shd w:val="clear" w:color="auto" w:fill="808080"/>
          </w:tcPr>
          <w:p w14:paraId="690FEFEB"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806" w:type="dxa"/>
            <w:shd w:val="clear" w:color="auto" w:fill="808080"/>
          </w:tcPr>
          <w:p w14:paraId="2373F525"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70" w:type="dxa"/>
            <w:gridSpan w:val="3"/>
          </w:tcPr>
          <w:p w14:paraId="32906010" w14:textId="05CA3052"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31</w:t>
            </w:r>
          </w:p>
        </w:tc>
        <w:tc>
          <w:tcPr>
            <w:tcW w:w="851" w:type="dxa"/>
            <w:shd w:val="clear" w:color="auto" w:fill="808080"/>
          </w:tcPr>
          <w:p w14:paraId="67C2148F"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1134" w:type="dxa"/>
            <w:shd w:val="clear" w:color="auto" w:fill="808080"/>
          </w:tcPr>
          <w:p w14:paraId="1B9BAE7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tcPr>
          <w:p w14:paraId="3E817A2D" w14:textId="2CBE4B41"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474</w:t>
            </w:r>
          </w:p>
        </w:tc>
        <w:tc>
          <w:tcPr>
            <w:tcW w:w="850" w:type="dxa"/>
            <w:shd w:val="clear" w:color="auto" w:fill="808080"/>
          </w:tcPr>
          <w:p w14:paraId="0838F3DB"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1276" w:type="dxa"/>
            <w:shd w:val="clear" w:color="auto" w:fill="808080"/>
          </w:tcPr>
          <w:p w14:paraId="0BEFD46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0AB5387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6543B8B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7211567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219577CC" w14:textId="77777777" w:rsidTr="00F42CDB">
        <w:tc>
          <w:tcPr>
            <w:tcW w:w="421" w:type="dxa"/>
          </w:tcPr>
          <w:p w14:paraId="280DBAEF"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9</w:t>
            </w:r>
          </w:p>
        </w:tc>
        <w:tc>
          <w:tcPr>
            <w:tcW w:w="997" w:type="dxa"/>
          </w:tcPr>
          <w:p w14:paraId="31C9364C" w14:textId="77777777" w:rsidR="008F084B" w:rsidRPr="00FC112D" w:rsidRDefault="008F084B" w:rsidP="00CD0946">
            <w:pPr>
              <w:rPr>
                <w:rFonts w:ascii="Times New Roman" w:eastAsia="Times New Roman" w:hAnsi="Times New Roman" w:cs="Times New Roman"/>
                <w:b/>
                <w:sz w:val="18"/>
                <w:szCs w:val="20"/>
                <w:lang w:eastAsia="pl-PL"/>
              </w:rPr>
            </w:pPr>
            <w:r w:rsidRPr="00FC112D">
              <w:rPr>
                <w:rFonts w:ascii="Times New Roman" w:eastAsia="Times New Roman" w:hAnsi="Times New Roman" w:cs="Times New Roman"/>
                <w:b/>
                <w:sz w:val="18"/>
                <w:szCs w:val="20"/>
                <w:lang w:eastAsia="pl-PL"/>
              </w:rPr>
              <w:t>Dłużne papiery wartościowe</w:t>
            </w:r>
          </w:p>
        </w:tc>
        <w:tc>
          <w:tcPr>
            <w:tcW w:w="1134" w:type="dxa"/>
          </w:tcPr>
          <w:p w14:paraId="0F34C26D" w14:textId="3A90B9A2"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21377</w:t>
            </w:r>
          </w:p>
        </w:tc>
        <w:tc>
          <w:tcPr>
            <w:tcW w:w="425" w:type="dxa"/>
            <w:shd w:val="clear" w:color="auto" w:fill="808080"/>
          </w:tcPr>
          <w:p w14:paraId="761387A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664799A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63DFB93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18D09F3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1678B19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2F42831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25ABE5E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4E9F422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4EBABD3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6CF902E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27F031C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44B36B0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321CBD9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13A0F9A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5DA3535A" w14:textId="77777777" w:rsidTr="00F42CDB">
        <w:tc>
          <w:tcPr>
            <w:tcW w:w="421" w:type="dxa"/>
          </w:tcPr>
          <w:p w14:paraId="7E218C92"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10</w:t>
            </w:r>
          </w:p>
        </w:tc>
        <w:tc>
          <w:tcPr>
            <w:tcW w:w="997" w:type="dxa"/>
          </w:tcPr>
          <w:p w14:paraId="681AB778"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Banki centralne </w:t>
            </w:r>
          </w:p>
          <w:p w14:paraId="63FD6F4D"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0CA3CEB8" w14:textId="0DC7FE4E"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16999</w:t>
            </w:r>
          </w:p>
        </w:tc>
        <w:tc>
          <w:tcPr>
            <w:tcW w:w="425" w:type="dxa"/>
            <w:shd w:val="clear" w:color="auto" w:fill="808080"/>
          </w:tcPr>
          <w:p w14:paraId="033E11F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7F44994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05BA3E5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54F6B43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176CCB0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43B5504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1DD5053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1034DD0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5710202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20AF0E8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76CD230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36C51F5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4350A3E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07AB9C9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080F3653" w14:textId="77777777" w:rsidTr="00F42CDB">
        <w:tc>
          <w:tcPr>
            <w:tcW w:w="421" w:type="dxa"/>
          </w:tcPr>
          <w:p w14:paraId="5DC17F42"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11</w:t>
            </w:r>
          </w:p>
        </w:tc>
        <w:tc>
          <w:tcPr>
            <w:tcW w:w="997" w:type="dxa"/>
          </w:tcPr>
          <w:p w14:paraId="633BDF77"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rządowe </w:t>
            </w:r>
          </w:p>
          <w:p w14:paraId="0AF8C5EE"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04CDEBF2" w14:textId="7BF425C9" w:rsidR="008F084B" w:rsidRPr="00FC112D" w:rsidRDefault="00FC112D"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3903</w:t>
            </w:r>
          </w:p>
        </w:tc>
        <w:tc>
          <w:tcPr>
            <w:tcW w:w="425" w:type="dxa"/>
            <w:shd w:val="clear" w:color="auto" w:fill="808080"/>
          </w:tcPr>
          <w:p w14:paraId="6AE1440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5EFBCBA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7CC1DE4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347829B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00E65ED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20D0A7B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FBEA98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507AEFD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1750893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07ABCE1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650EA93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7E7E80C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561FAF1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188D840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37F5F4FA" w14:textId="77777777" w:rsidTr="00F42CDB">
        <w:tc>
          <w:tcPr>
            <w:tcW w:w="421" w:type="dxa"/>
          </w:tcPr>
          <w:p w14:paraId="4AA3B497"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12</w:t>
            </w:r>
          </w:p>
        </w:tc>
        <w:tc>
          <w:tcPr>
            <w:tcW w:w="997" w:type="dxa"/>
          </w:tcPr>
          <w:p w14:paraId="0553E5AB"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kredytowe </w:t>
            </w:r>
          </w:p>
          <w:p w14:paraId="7E9E784E"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207A4877" w14:textId="6FDDFF2C" w:rsidR="008F084B" w:rsidRPr="00FC112D" w:rsidRDefault="00BA65AE"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475</w:t>
            </w:r>
          </w:p>
        </w:tc>
        <w:tc>
          <w:tcPr>
            <w:tcW w:w="425" w:type="dxa"/>
            <w:shd w:val="clear" w:color="auto" w:fill="808080"/>
          </w:tcPr>
          <w:p w14:paraId="0E3AC81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001AB91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1C3AF9E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1D90D66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587DEEF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7245EA8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F43F51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6D1F6E4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69D615F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5515C14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3EA3C59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2BE0DA3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6C1F98E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133A204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4B9B180E" w14:textId="77777777" w:rsidTr="00F42CDB">
        <w:tc>
          <w:tcPr>
            <w:tcW w:w="421" w:type="dxa"/>
          </w:tcPr>
          <w:p w14:paraId="71C3EDD7"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13</w:t>
            </w:r>
          </w:p>
        </w:tc>
        <w:tc>
          <w:tcPr>
            <w:tcW w:w="997" w:type="dxa"/>
          </w:tcPr>
          <w:p w14:paraId="048834D7"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Inne instytucje finansowe </w:t>
            </w:r>
          </w:p>
          <w:p w14:paraId="785FC696"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0D526853"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2D78E72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1247D8E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695999D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2D6FD19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35C7FA0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53CEA6A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39DCD1B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6765A93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4219F0C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78380DC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1974E68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FFC000"/>
          </w:tcPr>
          <w:p w14:paraId="34BBB5A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2034E33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27FDB87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3F2E2321" w14:textId="77777777" w:rsidTr="00F42CDB">
        <w:tc>
          <w:tcPr>
            <w:tcW w:w="421" w:type="dxa"/>
          </w:tcPr>
          <w:p w14:paraId="17F6B4F8"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14</w:t>
            </w:r>
          </w:p>
        </w:tc>
        <w:tc>
          <w:tcPr>
            <w:tcW w:w="997" w:type="dxa"/>
          </w:tcPr>
          <w:p w14:paraId="6E894670"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Przedsiębiorstwa niefinansowe </w:t>
            </w:r>
          </w:p>
          <w:p w14:paraId="2360274F"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3AD0B57A"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73CED08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808080"/>
          </w:tcPr>
          <w:p w14:paraId="6021ADC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709" w:type="dxa"/>
          </w:tcPr>
          <w:p w14:paraId="07142E5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283" w:type="dxa"/>
            <w:shd w:val="clear" w:color="auto" w:fill="808080"/>
          </w:tcPr>
          <w:p w14:paraId="2C4390C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3716312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69699A7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1357782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1DA987D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0BCC75B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3DCC623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64E1B4E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tcBorders>
              <w:bottom w:val="single" w:sz="4" w:space="0" w:color="auto"/>
            </w:tcBorders>
            <w:shd w:val="clear" w:color="auto" w:fill="FFC000"/>
          </w:tcPr>
          <w:p w14:paraId="41E697C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46588EA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4E6621D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1A0E9A6A" w14:textId="77777777" w:rsidTr="00F42CDB">
        <w:tc>
          <w:tcPr>
            <w:tcW w:w="421" w:type="dxa"/>
          </w:tcPr>
          <w:p w14:paraId="68068EE3"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15</w:t>
            </w:r>
          </w:p>
        </w:tc>
        <w:tc>
          <w:tcPr>
            <w:tcW w:w="997" w:type="dxa"/>
          </w:tcPr>
          <w:p w14:paraId="5EA49BDD" w14:textId="77777777" w:rsidR="008F084B" w:rsidRPr="00FC112D" w:rsidRDefault="008F084B" w:rsidP="00CD0946">
            <w:pPr>
              <w:autoSpaceDE w:val="0"/>
              <w:autoSpaceDN w:val="0"/>
              <w:adjustRightInd w:val="0"/>
              <w:rPr>
                <w:rFonts w:ascii="Times New Roman" w:eastAsia="Calibri" w:hAnsi="Times New Roman" w:cs="Times New Roman"/>
                <w:b/>
                <w:sz w:val="18"/>
                <w:szCs w:val="20"/>
              </w:rPr>
            </w:pPr>
            <w:r w:rsidRPr="00FC112D">
              <w:rPr>
                <w:rFonts w:ascii="Times New Roman" w:eastAsia="Calibri" w:hAnsi="Times New Roman" w:cs="Times New Roman"/>
                <w:b/>
                <w:sz w:val="18"/>
                <w:szCs w:val="20"/>
              </w:rPr>
              <w:t xml:space="preserve">Ekspozycje pozabilansowe </w:t>
            </w:r>
          </w:p>
          <w:p w14:paraId="6BFC61B9"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tcPr>
          <w:p w14:paraId="4C3DDA63"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7BEFDC41"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3BE1B714"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tcPr>
          <w:p w14:paraId="5D3951B5"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7B00659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5947489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tcPr>
          <w:p w14:paraId="1EB7F1B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11C0C9C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2C0AB2E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tcPr>
          <w:p w14:paraId="317D7A2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35C3A27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2D3BFAC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71109EC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25A8F7A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tcPr>
          <w:p w14:paraId="5E31080C"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701B19CA" w14:textId="77777777" w:rsidTr="00F42CDB">
        <w:tc>
          <w:tcPr>
            <w:tcW w:w="421" w:type="dxa"/>
          </w:tcPr>
          <w:p w14:paraId="3D46971F"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16</w:t>
            </w:r>
          </w:p>
        </w:tc>
        <w:tc>
          <w:tcPr>
            <w:tcW w:w="997" w:type="dxa"/>
          </w:tcPr>
          <w:p w14:paraId="58204618"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Banki centralne </w:t>
            </w:r>
          </w:p>
          <w:p w14:paraId="692DEBA5"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shd w:val="clear" w:color="auto" w:fill="FFC000"/>
          </w:tcPr>
          <w:p w14:paraId="21B60C7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6009A7F8"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6D7DB466"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0A7EAF0F"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390E8B9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E0F1CF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24D61CA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4515D0B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70F4D01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7AE0443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08A5086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3E405A5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45D5BBC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33919FC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74AB710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1F5E94CD" w14:textId="77777777" w:rsidTr="00F42CDB">
        <w:tc>
          <w:tcPr>
            <w:tcW w:w="421" w:type="dxa"/>
          </w:tcPr>
          <w:p w14:paraId="5AB93FE9"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17</w:t>
            </w:r>
          </w:p>
        </w:tc>
        <w:tc>
          <w:tcPr>
            <w:tcW w:w="997" w:type="dxa"/>
          </w:tcPr>
          <w:p w14:paraId="0FD5AC48"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rządowe </w:t>
            </w:r>
          </w:p>
          <w:p w14:paraId="133F0972"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shd w:val="clear" w:color="auto" w:fill="FFC000"/>
          </w:tcPr>
          <w:p w14:paraId="745A123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3E7A6E0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79DAC68B"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58FFCCD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68612D6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317296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5A9C004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2DC27B2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18FA7FB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5D01C04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273A643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06239EE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1F9490C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2182583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207E10F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758E54EA" w14:textId="77777777" w:rsidTr="00F42CDB">
        <w:tc>
          <w:tcPr>
            <w:tcW w:w="421" w:type="dxa"/>
          </w:tcPr>
          <w:p w14:paraId="0A7F3C9D"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18</w:t>
            </w:r>
          </w:p>
        </w:tc>
        <w:tc>
          <w:tcPr>
            <w:tcW w:w="997" w:type="dxa"/>
          </w:tcPr>
          <w:p w14:paraId="4E451918"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Instytucje kredytowe </w:t>
            </w:r>
          </w:p>
          <w:p w14:paraId="4BE08130"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shd w:val="clear" w:color="auto" w:fill="FFC000"/>
          </w:tcPr>
          <w:p w14:paraId="7EC8F59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7E836671"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11FDF829"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57260127"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6807213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749211F8"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22C852E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7A2037E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410DCBF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4957D44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497744B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7F93FEA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6B9DA5F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19F49EE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58815B0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7C8FBC67" w14:textId="77777777" w:rsidTr="00F42CDB">
        <w:tc>
          <w:tcPr>
            <w:tcW w:w="421" w:type="dxa"/>
          </w:tcPr>
          <w:p w14:paraId="705C7D61"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19</w:t>
            </w:r>
          </w:p>
        </w:tc>
        <w:tc>
          <w:tcPr>
            <w:tcW w:w="997" w:type="dxa"/>
          </w:tcPr>
          <w:p w14:paraId="2742F37E"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Inne instytucje finansowe </w:t>
            </w:r>
          </w:p>
          <w:p w14:paraId="4E83E8FD"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shd w:val="clear" w:color="auto" w:fill="FFC000"/>
          </w:tcPr>
          <w:p w14:paraId="358DFEF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237A0C8A"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1C3FCB53"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5667E3AD"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6A964A5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22AF24C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3421D39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10BEE24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05FCA8C0"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48E27C2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33C0E88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0AA5B4DA"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1217C3F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34C4EFF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02366A1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29189BD3" w14:textId="77777777" w:rsidTr="00F42CDB">
        <w:tc>
          <w:tcPr>
            <w:tcW w:w="421" w:type="dxa"/>
          </w:tcPr>
          <w:p w14:paraId="313BBE65"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20</w:t>
            </w:r>
          </w:p>
        </w:tc>
        <w:tc>
          <w:tcPr>
            <w:tcW w:w="997" w:type="dxa"/>
          </w:tcPr>
          <w:p w14:paraId="5C0406BA" w14:textId="77777777" w:rsidR="008F084B" w:rsidRPr="00FC112D" w:rsidRDefault="008F084B" w:rsidP="00CD0946">
            <w:pPr>
              <w:autoSpaceDE w:val="0"/>
              <w:autoSpaceDN w:val="0"/>
              <w:adjustRightInd w:val="0"/>
              <w:rPr>
                <w:rFonts w:ascii="Times New Roman" w:eastAsia="Calibri" w:hAnsi="Times New Roman" w:cs="Times New Roman"/>
                <w:sz w:val="18"/>
                <w:szCs w:val="20"/>
              </w:rPr>
            </w:pPr>
            <w:r w:rsidRPr="00FC112D">
              <w:rPr>
                <w:rFonts w:ascii="Times New Roman" w:eastAsia="Calibri" w:hAnsi="Times New Roman" w:cs="Times New Roman"/>
                <w:iCs/>
                <w:sz w:val="18"/>
                <w:szCs w:val="20"/>
              </w:rPr>
              <w:t xml:space="preserve">Przedsiębiorstwa niefinansowe </w:t>
            </w:r>
          </w:p>
          <w:p w14:paraId="2182E5D7" w14:textId="77777777" w:rsidR="008F084B" w:rsidRPr="00FC112D" w:rsidRDefault="008F084B" w:rsidP="00CD0946">
            <w:pPr>
              <w:rPr>
                <w:rFonts w:ascii="Times New Roman" w:eastAsia="Times New Roman" w:hAnsi="Times New Roman" w:cs="Times New Roman"/>
                <w:sz w:val="18"/>
                <w:szCs w:val="20"/>
                <w:lang w:eastAsia="pl-PL"/>
              </w:rPr>
            </w:pPr>
          </w:p>
        </w:tc>
        <w:tc>
          <w:tcPr>
            <w:tcW w:w="1134" w:type="dxa"/>
            <w:shd w:val="clear" w:color="auto" w:fill="FFC000"/>
          </w:tcPr>
          <w:p w14:paraId="35B81B88"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7305139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24CE3465"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15BCCFC0"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077AB00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08C0982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5F99B0D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2621E313"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7D1127D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163352E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4A0141D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2D48871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5274367B"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4F5AE972"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6DBA8F4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60031F40" w14:textId="77777777" w:rsidTr="00F42CDB">
        <w:tc>
          <w:tcPr>
            <w:tcW w:w="421" w:type="dxa"/>
          </w:tcPr>
          <w:p w14:paraId="301EA420" w14:textId="77777777" w:rsidR="008F084B" w:rsidRPr="00FC112D" w:rsidRDefault="008F084B" w:rsidP="00CD0946">
            <w:pPr>
              <w:jc w:val="both"/>
              <w:rPr>
                <w:rFonts w:ascii="Times New Roman" w:eastAsia="Times New Roman" w:hAnsi="Times New Roman" w:cs="Times New Roman"/>
                <w:sz w:val="20"/>
                <w:szCs w:val="20"/>
                <w:lang w:eastAsia="pl-PL"/>
              </w:rPr>
            </w:pPr>
            <w:r w:rsidRPr="00FC112D">
              <w:rPr>
                <w:rFonts w:ascii="Times New Roman" w:eastAsia="Times New Roman" w:hAnsi="Times New Roman" w:cs="Times New Roman"/>
                <w:sz w:val="20"/>
                <w:szCs w:val="20"/>
                <w:lang w:eastAsia="pl-PL"/>
              </w:rPr>
              <w:t>21</w:t>
            </w:r>
          </w:p>
        </w:tc>
        <w:tc>
          <w:tcPr>
            <w:tcW w:w="997" w:type="dxa"/>
          </w:tcPr>
          <w:p w14:paraId="228B3B7D" w14:textId="77777777" w:rsidR="008F084B" w:rsidRPr="00FC112D" w:rsidRDefault="008F084B" w:rsidP="00CD0946">
            <w:pPr>
              <w:rPr>
                <w:rFonts w:ascii="Times New Roman" w:eastAsia="Times New Roman" w:hAnsi="Times New Roman" w:cs="Times New Roman"/>
                <w:sz w:val="18"/>
                <w:szCs w:val="20"/>
                <w:lang w:eastAsia="pl-PL"/>
              </w:rPr>
            </w:pPr>
            <w:r w:rsidRPr="00FC112D">
              <w:rPr>
                <w:rFonts w:ascii="Times New Roman" w:eastAsia="Times New Roman" w:hAnsi="Times New Roman" w:cs="Times New Roman"/>
                <w:sz w:val="18"/>
                <w:szCs w:val="20"/>
                <w:lang w:eastAsia="pl-PL"/>
              </w:rPr>
              <w:t>Gospodarstwa domowe</w:t>
            </w:r>
          </w:p>
        </w:tc>
        <w:tc>
          <w:tcPr>
            <w:tcW w:w="1134" w:type="dxa"/>
            <w:shd w:val="clear" w:color="auto" w:fill="FFC000"/>
          </w:tcPr>
          <w:p w14:paraId="5275F869"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425" w:type="dxa"/>
            <w:shd w:val="clear" w:color="auto" w:fill="808080"/>
          </w:tcPr>
          <w:p w14:paraId="12C7B15C"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567" w:type="dxa"/>
            <w:shd w:val="clear" w:color="auto" w:fill="808080"/>
          </w:tcPr>
          <w:p w14:paraId="11EBC867"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709" w:type="dxa"/>
            <w:shd w:val="clear" w:color="auto" w:fill="FFC000"/>
          </w:tcPr>
          <w:p w14:paraId="1D73D0D1" w14:textId="77777777" w:rsidR="008F084B" w:rsidRPr="00FC112D" w:rsidRDefault="008F084B" w:rsidP="00CD0946">
            <w:pPr>
              <w:jc w:val="both"/>
              <w:rPr>
                <w:rFonts w:ascii="Times New Roman" w:eastAsia="Times New Roman" w:hAnsi="Times New Roman" w:cs="Times New Roman"/>
                <w:sz w:val="20"/>
                <w:szCs w:val="20"/>
                <w:lang w:eastAsia="pl-PL"/>
              </w:rPr>
            </w:pPr>
          </w:p>
        </w:tc>
        <w:tc>
          <w:tcPr>
            <w:tcW w:w="283" w:type="dxa"/>
            <w:shd w:val="clear" w:color="auto" w:fill="808080"/>
          </w:tcPr>
          <w:p w14:paraId="7F1E9AA5"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06" w:type="dxa"/>
            <w:shd w:val="clear" w:color="auto" w:fill="808080"/>
          </w:tcPr>
          <w:p w14:paraId="541F990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70" w:type="dxa"/>
            <w:gridSpan w:val="3"/>
            <w:shd w:val="clear" w:color="auto" w:fill="FFC000"/>
          </w:tcPr>
          <w:p w14:paraId="5B3EDA17"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1" w:type="dxa"/>
            <w:shd w:val="clear" w:color="auto" w:fill="808080"/>
          </w:tcPr>
          <w:p w14:paraId="15418CC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808080"/>
          </w:tcPr>
          <w:p w14:paraId="0EC39C9F"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567" w:type="dxa"/>
            <w:shd w:val="clear" w:color="auto" w:fill="FFC000"/>
          </w:tcPr>
          <w:p w14:paraId="015C34D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850" w:type="dxa"/>
            <w:shd w:val="clear" w:color="auto" w:fill="808080"/>
          </w:tcPr>
          <w:p w14:paraId="4962DA1E"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276" w:type="dxa"/>
            <w:shd w:val="clear" w:color="auto" w:fill="808080"/>
          </w:tcPr>
          <w:p w14:paraId="70568079"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134" w:type="dxa"/>
            <w:shd w:val="clear" w:color="auto" w:fill="000000"/>
          </w:tcPr>
          <w:p w14:paraId="418B8384"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417" w:type="dxa"/>
            <w:shd w:val="clear" w:color="auto" w:fill="FFC000"/>
          </w:tcPr>
          <w:p w14:paraId="2041259D"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1593" w:type="dxa"/>
            <w:shd w:val="clear" w:color="auto" w:fill="FFC000"/>
          </w:tcPr>
          <w:p w14:paraId="7E4CB686"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r>
      <w:tr w:rsidR="00ED417D" w:rsidRPr="00ED417D" w14:paraId="568BA9E9" w14:textId="77777777" w:rsidTr="00F42CDB">
        <w:tc>
          <w:tcPr>
            <w:tcW w:w="421" w:type="dxa"/>
          </w:tcPr>
          <w:p w14:paraId="72D2BBBB" w14:textId="77777777" w:rsidR="008F084B" w:rsidRPr="00FC112D" w:rsidRDefault="008F084B" w:rsidP="00CD0946">
            <w:pPr>
              <w:jc w:val="both"/>
              <w:rPr>
                <w:rFonts w:ascii="Times New Roman" w:eastAsia="Times New Roman" w:hAnsi="Times New Roman" w:cs="Times New Roman"/>
                <w:b/>
                <w:sz w:val="20"/>
                <w:szCs w:val="20"/>
                <w:lang w:eastAsia="pl-PL"/>
              </w:rPr>
            </w:pPr>
            <w:r w:rsidRPr="00FC112D">
              <w:rPr>
                <w:rFonts w:ascii="Times New Roman" w:eastAsia="Times New Roman" w:hAnsi="Times New Roman" w:cs="Times New Roman"/>
                <w:b/>
                <w:sz w:val="20"/>
                <w:szCs w:val="20"/>
                <w:lang w:eastAsia="pl-PL"/>
              </w:rPr>
              <w:t>22</w:t>
            </w:r>
          </w:p>
        </w:tc>
        <w:tc>
          <w:tcPr>
            <w:tcW w:w="997" w:type="dxa"/>
          </w:tcPr>
          <w:p w14:paraId="1978DAD7" w14:textId="77777777" w:rsidR="008F084B" w:rsidRPr="00FC112D" w:rsidRDefault="008F084B" w:rsidP="00CD0946">
            <w:pPr>
              <w:jc w:val="both"/>
              <w:rPr>
                <w:rFonts w:ascii="Times New Roman" w:eastAsia="Times New Roman" w:hAnsi="Times New Roman" w:cs="Times New Roman"/>
                <w:b/>
                <w:sz w:val="18"/>
                <w:szCs w:val="20"/>
                <w:lang w:eastAsia="pl-PL"/>
              </w:rPr>
            </w:pPr>
            <w:r w:rsidRPr="00FC112D">
              <w:rPr>
                <w:rFonts w:ascii="Times New Roman" w:eastAsia="Times New Roman" w:hAnsi="Times New Roman" w:cs="Times New Roman"/>
                <w:b/>
                <w:sz w:val="18"/>
                <w:szCs w:val="20"/>
                <w:lang w:eastAsia="pl-PL"/>
              </w:rPr>
              <w:t>Łącznie</w:t>
            </w:r>
          </w:p>
        </w:tc>
        <w:tc>
          <w:tcPr>
            <w:tcW w:w="1134" w:type="dxa"/>
          </w:tcPr>
          <w:p w14:paraId="4C701EC8" w14:textId="33F9850E" w:rsidR="008F084B" w:rsidRPr="00FC112D" w:rsidRDefault="00FC112D" w:rsidP="00CD0946">
            <w:pPr>
              <w:jc w:val="both"/>
              <w:rPr>
                <w:rFonts w:ascii="Times New Roman" w:eastAsia="Times New Roman" w:hAnsi="Times New Roman" w:cs="Times New Roman"/>
                <w:b/>
                <w:sz w:val="20"/>
                <w:szCs w:val="20"/>
                <w:lang w:eastAsia="pl-PL"/>
              </w:rPr>
            </w:pPr>
            <w:r w:rsidRPr="00FC112D">
              <w:rPr>
                <w:rFonts w:ascii="Times New Roman" w:eastAsia="Times New Roman" w:hAnsi="Times New Roman" w:cs="Times New Roman"/>
                <w:b/>
                <w:sz w:val="20"/>
                <w:szCs w:val="20"/>
                <w:lang w:eastAsia="pl-PL"/>
              </w:rPr>
              <w:t>135016</w:t>
            </w:r>
          </w:p>
        </w:tc>
        <w:tc>
          <w:tcPr>
            <w:tcW w:w="425" w:type="dxa"/>
            <w:shd w:val="clear" w:color="auto" w:fill="808080"/>
          </w:tcPr>
          <w:p w14:paraId="0459ACBC" w14:textId="77777777" w:rsidR="008F084B" w:rsidRPr="00FC112D" w:rsidRDefault="008F084B" w:rsidP="00CD0946">
            <w:pPr>
              <w:jc w:val="both"/>
              <w:rPr>
                <w:rFonts w:ascii="Times New Roman" w:eastAsia="Times New Roman" w:hAnsi="Times New Roman" w:cs="Times New Roman"/>
                <w:b/>
                <w:sz w:val="20"/>
                <w:szCs w:val="20"/>
                <w:lang w:eastAsia="pl-PL"/>
              </w:rPr>
            </w:pPr>
          </w:p>
        </w:tc>
        <w:tc>
          <w:tcPr>
            <w:tcW w:w="567" w:type="dxa"/>
            <w:shd w:val="clear" w:color="auto" w:fill="808080"/>
          </w:tcPr>
          <w:p w14:paraId="7F44661C" w14:textId="77777777" w:rsidR="008F084B" w:rsidRPr="00FC112D" w:rsidRDefault="008F084B" w:rsidP="00CD0946">
            <w:pPr>
              <w:jc w:val="both"/>
              <w:rPr>
                <w:rFonts w:ascii="Times New Roman" w:eastAsia="Times New Roman" w:hAnsi="Times New Roman" w:cs="Times New Roman"/>
                <w:b/>
                <w:sz w:val="20"/>
                <w:szCs w:val="20"/>
                <w:lang w:eastAsia="pl-PL"/>
              </w:rPr>
            </w:pPr>
          </w:p>
        </w:tc>
        <w:tc>
          <w:tcPr>
            <w:tcW w:w="709" w:type="dxa"/>
          </w:tcPr>
          <w:p w14:paraId="7E0E3AC0" w14:textId="3F1A1D8B" w:rsidR="008F084B" w:rsidRPr="00FC112D" w:rsidRDefault="00BA65AE" w:rsidP="00CD0946">
            <w:pPr>
              <w:jc w:val="both"/>
              <w:rPr>
                <w:rFonts w:ascii="Times New Roman" w:eastAsia="Times New Roman" w:hAnsi="Times New Roman" w:cs="Times New Roman"/>
                <w:b/>
                <w:sz w:val="20"/>
                <w:szCs w:val="20"/>
                <w:lang w:eastAsia="pl-PL"/>
              </w:rPr>
            </w:pPr>
            <w:r w:rsidRPr="00FC112D">
              <w:rPr>
                <w:rFonts w:ascii="Times New Roman" w:eastAsia="Times New Roman" w:hAnsi="Times New Roman" w:cs="Times New Roman"/>
                <w:b/>
                <w:sz w:val="20"/>
                <w:szCs w:val="20"/>
                <w:lang w:eastAsia="pl-PL"/>
              </w:rPr>
              <w:t>1</w:t>
            </w:r>
            <w:r w:rsidR="00FC112D" w:rsidRPr="00FC112D">
              <w:rPr>
                <w:rFonts w:ascii="Times New Roman" w:eastAsia="Times New Roman" w:hAnsi="Times New Roman" w:cs="Times New Roman"/>
                <w:b/>
                <w:sz w:val="20"/>
                <w:szCs w:val="20"/>
                <w:lang w:eastAsia="pl-PL"/>
              </w:rPr>
              <w:t>846</w:t>
            </w:r>
          </w:p>
        </w:tc>
        <w:tc>
          <w:tcPr>
            <w:tcW w:w="283" w:type="dxa"/>
            <w:shd w:val="clear" w:color="auto" w:fill="808080"/>
          </w:tcPr>
          <w:p w14:paraId="02F0DE40"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806" w:type="dxa"/>
            <w:shd w:val="clear" w:color="auto" w:fill="808080"/>
          </w:tcPr>
          <w:p w14:paraId="6D8AF286"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470" w:type="dxa"/>
            <w:gridSpan w:val="3"/>
          </w:tcPr>
          <w:p w14:paraId="0686DE25" w14:textId="1B5930FC" w:rsidR="008F084B" w:rsidRPr="00ED417D" w:rsidRDefault="00BA65AE" w:rsidP="00CD0946">
            <w:pPr>
              <w:jc w:val="both"/>
              <w:rPr>
                <w:rFonts w:ascii="Times New Roman" w:eastAsia="Times New Roman" w:hAnsi="Times New Roman" w:cs="Times New Roman"/>
                <w:b/>
                <w:color w:val="FF0000"/>
                <w:sz w:val="20"/>
                <w:szCs w:val="20"/>
                <w:lang w:eastAsia="pl-PL"/>
              </w:rPr>
            </w:pPr>
            <w:r w:rsidRPr="00FC112D">
              <w:rPr>
                <w:rFonts w:ascii="Times New Roman" w:eastAsia="Times New Roman" w:hAnsi="Times New Roman" w:cs="Times New Roman"/>
                <w:b/>
                <w:sz w:val="20"/>
                <w:szCs w:val="20"/>
                <w:lang w:eastAsia="pl-PL"/>
              </w:rPr>
              <w:t>3</w:t>
            </w:r>
            <w:r w:rsidR="00FC112D" w:rsidRPr="00FC112D">
              <w:rPr>
                <w:rFonts w:ascii="Times New Roman" w:eastAsia="Times New Roman" w:hAnsi="Times New Roman" w:cs="Times New Roman"/>
                <w:b/>
                <w:sz w:val="20"/>
                <w:szCs w:val="20"/>
                <w:lang w:eastAsia="pl-PL"/>
              </w:rPr>
              <w:t>1</w:t>
            </w:r>
          </w:p>
        </w:tc>
        <w:tc>
          <w:tcPr>
            <w:tcW w:w="851" w:type="dxa"/>
            <w:shd w:val="clear" w:color="auto" w:fill="808080"/>
          </w:tcPr>
          <w:p w14:paraId="7F04E55D"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1134" w:type="dxa"/>
            <w:shd w:val="clear" w:color="auto" w:fill="808080"/>
          </w:tcPr>
          <w:p w14:paraId="79E01C44"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567" w:type="dxa"/>
          </w:tcPr>
          <w:p w14:paraId="25A943BB" w14:textId="2C0188AE" w:rsidR="008F084B" w:rsidRPr="00FC112D" w:rsidRDefault="00FC112D" w:rsidP="00CD0946">
            <w:pPr>
              <w:jc w:val="both"/>
              <w:rPr>
                <w:rFonts w:ascii="Times New Roman" w:eastAsia="Times New Roman" w:hAnsi="Times New Roman" w:cs="Times New Roman"/>
                <w:b/>
                <w:sz w:val="20"/>
                <w:szCs w:val="20"/>
                <w:lang w:eastAsia="pl-PL"/>
              </w:rPr>
            </w:pPr>
            <w:r w:rsidRPr="00FC112D">
              <w:rPr>
                <w:rFonts w:ascii="Times New Roman" w:eastAsia="Times New Roman" w:hAnsi="Times New Roman" w:cs="Times New Roman"/>
                <w:b/>
                <w:sz w:val="20"/>
                <w:szCs w:val="20"/>
                <w:lang w:eastAsia="pl-PL"/>
              </w:rPr>
              <w:t>945</w:t>
            </w:r>
          </w:p>
        </w:tc>
        <w:tc>
          <w:tcPr>
            <w:tcW w:w="850" w:type="dxa"/>
            <w:shd w:val="clear" w:color="auto" w:fill="808080"/>
          </w:tcPr>
          <w:p w14:paraId="69982D7B" w14:textId="77777777" w:rsidR="008F084B" w:rsidRPr="00FC112D" w:rsidRDefault="008F084B" w:rsidP="00CD0946">
            <w:pPr>
              <w:jc w:val="both"/>
              <w:rPr>
                <w:rFonts w:ascii="Times New Roman" w:eastAsia="Times New Roman" w:hAnsi="Times New Roman" w:cs="Times New Roman"/>
                <w:b/>
                <w:sz w:val="20"/>
                <w:szCs w:val="20"/>
                <w:lang w:eastAsia="pl-PL"/>
              </w:rPr>
            </w:pPr>
          </w:p>
        </w:tc>
        <w:tc>
          <w:tcPr>
            <w:tcW w:w="1276" w:type="dxa"/>
            <w:shd w:val="clear" w:color="auto" w:fill="808080"/>
          </w:tcPr>
          <w:p w14:paraId="0E15ABA4"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1134" w:type="dxa"/>
          </w:tcPr>
          <w:p w14:paraId="706671E4"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1417" w:type="dxa"/>
          </w:tcPr>
          <w:p w14:paraId="252C2454"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c>
          <w:tcPr>
            <w:tcW w:w="1593" w:type="dxa"/>
          </w:tcPr>
          <w:p w14:paraId="297A5E98" w14:textId="77777777" w:rsidR="008F084B" w:rsidRPr="00ED417D" w:rsidRDefault="008F084B" w:rsidP="00CD0946">
            <w:pPr>
              <w:jc w:val="both"/>
              <w:rPr>
                <w:rFonts w:ascii="Times New Roman" w:eastAsia="Times New Roman" w:hAnsi="Times New Roman" w:cs="Times New Roman"/>
                <w:b/>
                <w:color w:val="FF0000"/>
                <w:sz w:val="20"/>
                <w:szCs w:val="20"/>
                <w:lang w:eastAsia="pl-PL"/>
              </w:rPr>
            </w:pPr>
          </w:p>
        </w:tc>
      </w:tr>
    </w:tbl>
    <w:p w14:paraId="47022E6E" w14:textId="77777777" w:rsidR="008F084B" w:rsidRPr="00ED417D" w:rsidRDefault="008F084B" w:rsidP="008F084B">
      <w:pPr>
        <w:spacing w:after="0" w:line="240" w:lineRule="auto"/>
        <w:jc w:val="both"/>
        <w:rPr>
          <w:rFonts w:ascii="Times New Roman" w:eastAsia="Times New Roman" w:hAnsi="Times New Roman" w:cs="Times New Roman"/>
          <w:color w:val="FF0000"/>
          <w:sz w:val="16"/>
          <w:szCs w:val="16"/>
          <w:lang w:eastAsia="pl-PL"/>
        </w:rPr>
      </w:pPr>
    </w:p>
    <w:tbl>
      <w:tblPr>
        <w:tblW w:w="14742" w:type="dxa"/>
        <w:tblCellMar>
          <w:left w:w="70" w:type="dxa"/>
          <w:right w:w="70" w:type="dxa"/>
        </w:tblCellMar>
        <w:tblLook w:val="04A0" w:firstRow="1" w:lastRow="0" w:firstColumn="1" w:lastColumn="0" w:noHBand="0" w:noVBand="1"/>
      </w:tblPr>
      <w:tblGrid>
        <w:gridCol w:w="3280"/>
        <w:gridCol w:w="11462"/>
      </w:tblGrid>
      <w:tr w:rsidR="00ED417D" w:rsidRPr="00ED417D" w14:paraId="097E6C5F" w14:textId="77777777" w:rsidTr="00CD0C4A">
        <w:trPr>
          <w:trHeight w:val="288"/>
        </w:trPr>
        <w:tc>
          <w:tcPr>
            <w:tcW w:w="3280" w:type="dxa"/>
            <w:tcBorders>
              <w:top w:val="nil"/>
              <w:bottom w:val="single" w:sz="4" w:space="0" w:color="auto"/>
            </w:tcBorders>
            <w:shd w:val="clear" w:color="000000" w:fill="FFFFFF"/>
            <w:vAlign w:val="bottom"/>
            <w:hideMark/>
          </w:tcPr>
          <w:p w14:paraId="44819868" w14:textId="77777777" w:rsidR="005F30F0" w:rsidRPr="00FC112D" w:rsidRDefault="005F30F0" w:rsidP="00CD0C4A">
            <w:pPr>
              <w:jc w:val="center"/>
              <w:rPr>
                <w:rFonts w:ascii="Calibri" w:hAnsi="Calibri" w:cs="Calibri"/>
                <w:b/>
                <w:bCs/>
              </w:rPr>
            </w:pPr>
            <w:r w:rsidRPr="00FC112D">
              <w:rPr>
                <w:rFonts w:ascii="Calibri" w:hAnsi="Calibri" w:cs="Calibri"/>
                <w:b/>
                <w:bCs/>
              </w:rPr>
              <w:t>Legenda:</w:t>
            </w:r>
          </w:p>
        </w:tc>
        <w:tc>
          <w:tcPr>
            <w:tcW w:w="11462" w:type="dxa"/>
            <w:tcBorders>
              <w:top w:val="nil"/>
            </w:tcBorders>
            <w:shd w:val="clear" w:color="000000" w:fill="FFFFFF"/>
          </w:tcPr>
          <w:p w14:paraId="3AC09770" w14:textId="77777777" w:rsidR="005F30F0" w:rsidRPr="00FC112D" w:rsidRDefault="005F30F0" w:rsidP="00CD0C4A">
            <w:pPr>
              <w:jc w:val="center"/>
              <w:rPr>
                <w:rFonts w:ascii="Calibri" w:hAnsi="Calibri" w:cs="Calibri"/>
                <w:b/>
                <w:bCs/>
              </w:rPr>
            </w:pPr>
          </w:p>
        </w:tc>
      </w:tr>
      <w:tr w:rsidR="00ED417D" w:rsidRPr="00ED417D" w14:paraId="2EB868CE" w14:textId="77777777" w:rsidTr="00CD0C4A">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03354" w14:textId="77777777" w:rsidR="005F30F0" w:rsidRPr="00FC112D" w:rsidRDefault="005F30F0" w:rsidP="00CD0C4A">
            <w:pPr>
              <w:rPr>
                <w:rFonts w:ascii="Calibri" w:hAnsi="Calibri" w:cs="Calibri"/>
              </w:rPr>
            </w:pPr>
            <w:r w:rsidRPr="00FC112D">
              <w:rPr>
                <w:rFonts w:ascii="Calibri" w:hAnsi="Calibri" w:cs="Calibri"/>
              </w:rPr>
              <w:t> </w:t>
            </w:r>
          </w:p>
        </w:tc>
        <w:tc>
          <w:tcPr>
            <w:tcW w:w="11462" w:type="dxa"/>
            <w:tcBorders>
              <w:left w:val="single" w:sz="4" w:space="0" w:color="auto"/>
            </w:tcBorders>
          </w:tcPr>
          <w:p w14:paraId="528E0DE8" w14:textId="77777777" w:rsidR="005F30F0" w:rsidRPr="00FC112D" w:rsidRDefault="005F30F0" w:rsidP="00CD0C4A">
            <w:r w:rsidRPr="00FC112D">
              <w:t>pola, których wypełnianie jest obowiązkowe</w:t>
            </w:r>
          </w:p>
        </w:tc>
      </w:tr>
      <w:tr w:rsidR="00ED417D" w:rsidRPr="00ED417D" w14:paraId="10BE1723" w14:textId="77777777" w:rsidTr="00CD0C4A">
        <w:trPr>
          <w:trHeight w:val="300"/>
        </w:trPr>
        <w:tc>
          <w:tcPr>
            <w:tcW w:w="3280" w:type="dxa"/>
            <w:tcBorders>
              <w:top w:val="single" w:sz="4" w:space="0" w:color="3F3F3F"/>
              <w:left w:val="single" w:sz="4" w:space="0" w:color="3F3F3F"/>
              <w:bottom w:val="single" w:sz="4" w:space="0" w:color="3F3F3F"/>
              <w:right w:val="single" w:sz="4" w:space="0" w:color="auto"/>
            </w:tcBorders>
            <w:shd w:val="clear" w:color="auto" w:fill="FFC000"/>
            <w:noWrap/>
            <w:vAlign w:val="bottom"/>
            <w:hideMark/>
          </w:tcPr>
          <w:p w14:paraId="73997369" w14:textId="77777777" w:rsidR="005F30F0" w:rsidRPr="00FC112D" w:rsidRDefault="005F30F0" w:rsidP="00CD0C4A">
            <w:pPr>
              <w:rPr>
                <w:rFonts w:ascii="Calibri" w:hAnsi="Calibri" w:cs="Calibri"/>
                <w:b/>
                <w:bCs/>
              </w:rPr>
            </w:pPr>
            <w:r w:rsidRPr="00FC112D">
              <w:rPr>
                <w:rFonts w:ascii="Calibri" w:hAnsi="Calibri" w:cs="Calibri"/>
                <w:b/>
                <w:bCs/>
              </w:rPr>
              <w:t xml:space="preserve">  </w:t>
            </w:r>
          </w:p>
        </w:tc>
        <w:tc>
          <w:tcPr>
            <w:tcW w:w="11462" w:type="dxa"/>
            <w:tcBorders>
              <w:left w:val="single" w:sz="4" w:space="0" w:color="auto"/>
            </w:tcBorders>
            <w:shd w:val="clear" w:color="auto" w:fill="FFFFFF" w:themeFill="background1"/>
          </w:tcPr>
          <w:p w14:paraId="60ED7569" w14:textId="77777777" w:rsidR="005F30F0" w:rsidRPr="00FC112D" w:rsidRDefault="005F30F0" w:rsidP="00CD0C4A">
            <w:pPr>
              <w:rPr>
                <w:bCs/>
              </w:rPr>
            </w:pPr>
            <w:r w:rsidRPr="00FC112D">
              <w:rPr>
                <w:bCs/>
              </w:rPr>
              <w:t>pola, których wypełnianie jest nieobowiązkowe</w:t>
            </w:r>
          </w:p>
        </w:tc>
      </w:tr>
      <w:tr w:rsidR="00ED417D" w:rsidRPr="00ED417D" w14:paraId="74252EED" w14:textId="77777777" w:rsidTr="00CD0C4A">
        <w:trPr>
          <w:trHeight w:val="288"/>
        </w:trPr>
        <w:tc>
          <w:tcPr>
            <w:tcW w:w="3280" w:type="dxa"/>
            <w:tcBorders>
              <w:top w:val="single" w:sz="4" w:space="0" w:color="3F3F3F"/>
              <w:left w:val="single" w:sz="4" w:space="0" w:color="3F3F3F"/>
              <w:bottom w:val="single" w:sz="4" w:space="0" w:color="3F3F3F"/>
              <w:right w:val="single" w:sz="4" w:space="0" w:color="auto"/>
            </w:tcBorders>
            <w:shd w:val="clear" w:color="auto" w:fill="808080" w:themeFill="background1" w:themeFillShade="80"/>
            <w:noWrap/>
            <w:vAlign w:val="bottom"/>
            <w:hideMark/>
          </w:tcPr>
          <w:p w14:paraId="678A52F5" w14:textId="77777777" w:rsidR="005F30F0" w:rsidRPr="00FC112D" w:rsidRDefault="005F30F0" w:rsidP="00CD0C4A">
            <w:pPr>
              <w:rPr>
                <w:rFonts w:ascii="Calibri" w:hAnsi="Calibri" w:cs="Calibri"/>
              </w:rPr>
            </w:pPr>
            <w:r w:rsidRPr="00FC112D">
              <w:rPr>
                <w:rFonts w:ascii="Calibri" w:hAnsi="Calibri" w:cs="Calibri"/>
              </w:rPr>
              <w:t> </w:t>
            </w:r>
          </w:p>
        </w:tc>
        <w:tc>
          <w:tcPr>
            <w:tcW w:w="11462" w:type="dxa"/>
            <w:tcBorders>
              <w:left w:val="single" w:sz="4" w:space="0" w:color="auto"/>
            </w:tcBorders>
            <w:shd w:val="clear" w:color="auto" w:fill="FFFFFF" w:themeFill="background1"/>
          </w:tcPr>
          <w:p w14:paraId="409D7884" w14:textId="77777777" w:rsidR="005F30F0" w:rsidRPr="00FC112D" w:rsidRDefault="005F30F0" w:rsidP="00CD0C4A">
            <w:r w:rsidRPr="00FC112D">
              <w:t>pola zablokowane, zgodnie z objaśnieniami poniżej nie dotyczy banków stosujących krajowe zasady rachunkowości</w:t>
            </w:r>
          </w:p>
        </w:tc>
      </w:tr>
      <w:tr w:rsidR="00ED417D" w:rsidRPr="00ED417D" w14:paraId="78286708" w14:textId="77777777" w:rsidTr="00CD0C4A">
        <w:trPr>
          <w:trHeight w:val="288"/>
        </w:trPr>
        <w:tc>
          <w:tcPr>
            <w:tcW w:w="3280" w:type="dxa"/>
            <w:tcBorders>
              <w:top w:val="single" w:sz="4" w:space="0" w:color="3F3F3F"/>
              <w:left w:val="single" w:sz="4" w:space="0" w:color="3F3F3F"/>
              <w:bottom w:val="single" w:sz="4" w:space="0" w:color="3F3F3F"/>
              <w:right w:val="single" w:sz="4" w:space="0" w:color="auto"/>
            </w:tcBorders>
            <w:shd w:val="clear" w:color="000000" w:fill="000000"/>
            <w:noWrap/>
            <w:vAlign w:val="bottom"/>
            <w:hideMark/>
          </w:tcPr>
          <w:p w14:paraId="5186252B" w14:textId="77777777" w:rsidR="005F30F0" w:rsidRPr="00FC112D" w:rsidRDefault="005F30F0" w:rsidP="00CD0C4A">
            <w:pPr>
              <w:rPr>
                <w:rFonts w:ascii="Calibri" w:hAnsi="Calibri" w:cs="Calibri"/>
              </w:rPr>
            </w:pPr>
            <w:r w:rsidRPr="00FC112D">
              <w:rPr>
                <w:rFonts w:ascii="Calibri" w:hAnsi="Calibri" w:cs="Calibri"/>
              </w:rPr>
              <w:t> </w:t>
            </w:r>
          </w:p>
        </w:tc>
        <w:tc>
          <w:tcPr>
            <w:tcW w:w="11462" w:type="dxa"/>
            <w:tcBorders>
              <w:left w:val="single" w:sz="4" w:space="0" w:color="auto"/>
            </w:tcBorders>
            <w:shd w:val="clear" w:color="auto" w:fill="FFFFFF" w:themeFill="background1"/>
          </w:tcPr>
          <w:p w14:paraId="224CD231" w14:textId="77777777" w:rsidR="005F30F0" w:rsidRPr="00FC112D" w:rsidRDefault="005F30F0" w:rsidP="00CD0C4A">
            <w:r w:rsidRPr="00FC112D">
              <w:t>pola zablokowane, zgodnie ze wzorcem zaprezentowanym w  „Wytycznych dotyczących ujawniania w zakresie ekspozycji nieobsługiwanych i restrukturyzowanych” (EBA/GL/2018/10)</w:t>
            </w:r>
          </w:p>
        </w:tc>
      </w:tr>
    </w:tbl>
    <w:p w14:paraId="64920890" w14:textId="0D6C3F4E" w:rsidR="00662FC9" w:rsidRPr="00ED417D" w:rsidRDefault="00662FC9" w:rsidP="008F084B">
      <w:pPr>
        <w:rPr>
          <w:rFonts w:ascii="Times New Roman" w:hAnsi="Times New Roman" w:cs="Times New Roman"/>
          <w:color w:val="FF0000"/>
          <w:sz w:val="24"/>
          <w:szCs w:val="24"/>
        </w:rPr>
      </w:pPr>
    </w:p>
    <w:p w14:paraId="0CC54F35" w14:textId="7C0EAD8D" w:rsidR="00C71214" w:rsidRDefault="00C71214" w:rsidP="008F084B">
      <w:pPr>
        <w:rPr>
          <w:rFonts w:ascii="Times New Roman" w:hAnsi="Times New Roman" w:cs="Times New Roman"/>
          <w:color w:val="FF0000"/>
          <w:sz w:val="24"/>
          <w:szCs w:val="24"/>
        </w:rPr>
      </w:pPr>
    </w:p>
    <w:p w14:paraId="5A24F242" w14:textId="77777777" w:rsidR="009A22C3" w:rsidRPr="00ED417D" w:rsidRDefault="009A22C3" w:rsidP="008F084B">
      <w:pPr>
        <w:rPr>
          <w:rFonts w:ascii="Times New Roman" w:hAnsi="Times New Roman" w:cs="Times New Roman"/>
          <w:color w:val="FF0000"/>
          <w:sz w:val="24"/>
          <w:szCs w:val="24"/>
        </w:rPr>
      </w:pPr>
    </w:p>
    <w:p w14:paraId="0E9DF4C9" w14:textId="77777777" w:rsidR="008F084B" w:rsidRPr="00ED417D" w:rsidRDefault="008F084B" w:rsidP="000C62C3">
      <w:pPr>
        <w:pStyle w:val="Akapitzlist"/>
        <w:numPr>
          <w:ilvl w:val="6"/>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6632"/>
          <w:tab w:val="num" w:pos="3621"/>
        </w:tabs>
        <w:spacing w:after="0" w:line="240" w:lineRule="auto"/>
        <w:ind w:left="426" w:hanging="426"/>
        <w:jc w:val="both"/>
        <w:rPr>
          <w:rFonts w:ascii="Times New Roman" w:hAnsi="Times New Roman" w:cs="Times New Roman"/>
          <w:b/>
          <w:color w:val="FF0000"/>
          <w:sz w:val="24"/>
          <w:szCs w:val="24"/>
        </w:rPr>
      </w:pPr>
      <w:r w:rsidRPr="009A22C3">
        <w:rPr>
          <w:rFonts w:ascii="Times New Roman" w:hAnsi="Times New Roman" w:cs="Times New Roman"/>
          <w:b/>
          <w:sz w:val="24"/>
          <w:szCs w:val="24"/>
        </w:rPr>
        <w:t>Zabezpieczenie uzyskane przez przejęcie i postępowania egzekucyjne</w:t>
      </w:r>
    </w:p>
    <w:p w14:paraId="5CC47DE9" w14:textId="77777777" w:rsidR="008F084B" w:rsidRPr="00ED417D" w:rsidRDefault="008F084B" w:rsidP="008F084B">
      <w:pPr>
        <w:spacing w:after="0" w:line="240" w:lineRule="auto"/>
        <w:jc w:val="both"/>
        <w:rPr>
          <w:rFonts w:ascii="Times New Roman" w:eastAsia="Times New Roman" w:hAnsi="Times New Roman" w:cs="Times New Roman"/>
          <w:color w:val="FF0000"/>
          <w:sz w:val="24"/>
          <w:szCs w:val="16"/>
          <w:lang w:eastAsia="pl-PL"/>
        </w:rPr>
      </w:pPr>
    </w:p>
    <w:tbl>
      <w:tblPr>
        <w:tblStyle w:val="Tabela-Siatka4"/>
        <w:tblW w:w="14029" w:type="dxa"/>
        <w:tblLook w:val="04A0" w:firstRow="1" w:lastRow="0" w:firstColumn="1" w:lastColumn="0" w:noHBand="0" w:noVBand="1"/>
      </w:tblPr>
      <w:tblGrid>
        <w:gridCol w:w="421"/>
        <w:gridCol w:w="4109"/>
        <w:gridCol w:w="4749"/>
        <w:gridCol w:w="4750"/>
      </w:tblGrid>
      <w:tr w:rsidR="009A22C3" w:rsidRPr="009A22C3" w14:paraId="6FF96EE9" w14:textId="77777777" w:rsidTr="00CD0946">
        <w:tc>
          <w:tcPr>
            <w:tcW w:w="421" w:type="dxa"/>
            <w:vMerge w:val="restart"/>
          </w:tcPr>
          <w:p w14:paraId="791F4B0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109" w:type="dxa"/>
            <w:vMerge w:val="restart"/>
          </w:tcPr>
          <w:p w14:paraId="408D4CC4" w14:textId="77777777" w:rsidR="008F084B" w:rsidRPr="009A22C3" w:rsidRDefault="008F084B" w:rsidP="00CD0946">
            <w:pPr>
              <w:jc w:val="both"/>
              <w:rPr>
                <w:rFonts w:ascii="Times New Roman" w:eastAsia="Times New Roman" w:hAnsi="Times New Roman" w:cs="Times New Roman"/>
                <w:sz w:val="20"/>
                <w:szCs w:val="20"/>
                <w:lang w:eastAsia="pl-PL"/>
              </w:rPr>
            </w:pPr>
          </w:p>
        </w:tc>
        <w:tc>
          <w:tcPr>
            <w:tcW w:w="9499" w:type="dxa"/>
            <w:gridSpan w:val="2"/>
          </w:tcPr>
          <w:p w14:paraId="07C6C829" w14:textId="77777777" w:rsidR="008F084B" w:rsidRPr="009A22C3" w:rsidRDefault="008F084B" w:rsidP="00CD0946">
            <w:pPr>
              <w:jc w:val="center"/>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Zabezpieczenie uzyskane przez przejęcie</w:t>
            </w:r>
          </w:p>
        </w:tc>
      </w:tr>
      <w:tr w:rsidR="009A22C3" w:rsidRPr="009A22C3" w14:paraId="65ACA5C3" w14:textId="77777777" w:rsidTr="009A22C3">
        <w:trPr>
          <w:trHeight w:val="597"/>
        </w:trPr>
        <w:tc>
          <w:tcPr>
            <w:tcW w:w="421" w:type="dxa"/>
            <w:vMerge/>
          </w:tcPr>
          <w:p w14:paraId="4F20CC51" w14:textId="77777777" w:rsidR="008F084B" w:rsidRPr="00ED417D" w:rsidRDefault="008F084B" w:rsidP="00CD0946">
            <w:pPr>
              <w:jc w:val="both"/>
              <w:rPr>
                <w:rFonts w:ascii="Times New Roman" w:eastAsia="Times New Roman" w:hAnsi="Times New Roman" w:cs="Times New Roman"/>
                <w:color w:val="FF0000"/>
                <w:sz w:val="20"/>
                <w:szCs w:val="20"/>
                <w:lang w:eastAsia="pl-PL"/>
              </w:rPr>
            </w:pPr>
          </w:p>
        </w:tc>
        <w:tc>
          <w:tcPr>
            <w:tcW w:w="4109" w:type="dxa"/>
            <w:vMerge/>
          </w:tcPr>
          <w:p w14:paraId="384B1A04" w14:textId="77777777" w:rsidR="008F084B" w:rsidRPr="009A22C3" w:rsidRDefault="008F084B" w:rsidP="00CD0946">
            <w:pPr>
              <w:jc w:val="both"/>
              <w:rPr>
                <w:rFonts w:ascii="Times New Roman" w:eastAsia="Times New Roman" w:hAnsi="Times New Roman" w:cs="Times New Roman"/>
                <w:sz w:val="20"/>
                <w:szCs w:val="20"/>
                <w:lang w:eastAsia="pl-PL"/>
              </w:rPr>
            </w:pPr>
          </w:p>
        </w:tc>
        <w:tc>
          <w:tcPr>
            <w:tcW w:w="4749" w:type="dxa"/>
            <w:vAlign w:val="bottom"/>
          </w:tcPr>
          <w:p w14:paraId="3431D615" w14:textId="77777777" w:rsidR="008F084B" w:rsidRPr="009A22C3" w:rsidRDefault="008F084B" w:rsidP="00CD0946">
            <w:pPr>
              <w:autoSpaceDE w:val="0"/>
              <w:autoSpaceDN w:val="0"/>
              <w:adjustRightInd w:val="0"/>
              <w:jc w:val="center"/>
              <w:rPr>
                <w:rFonts w:ascii="Times New Roman" w:eastAsia="Calibri" w:hAnsi="Times New Roman" w:cs="Times New Roman"/>
                <w:sz w:val="20"/>
                <w:szCs w:val="20"/>
              </w:rPr>
            </w:pPr>
            <w:r w:rsidRPr="009A22C3">
              <w:rPr>
                <w:rFonts w:ascii="Times New Roman" w:eastAsia="Calibri" w:hAnsi="Times New Roman" w:cs="Times New Roman"/>
                <w:sz w:val="20"/>
                <w:szCs w:val="20"/>
              </w:rPr>
              <w:t>Wartość w momencie początkowego ujęcia</w:t>
            </w:r>
          </w:p>
          <w:p w14:paraId="76EEBA2B" w14:textId="77777777" w:rsidR="008F084B" w:rsidRPr="009A22C3" w:rsidRDefault="008F084B" w:rsidP="00CD0946">
            <w:pPr>
              <w:jc w:val="center"/>
              <w:rPr>
                <w:rFonts w:ascii="Times New Roman" w:eastAsia="Times New Roman" w:hAnsi="Times New Roman" w:cs="Times New Roman"/>
                <w:sz w:val="20"/>
                <w:szCs w:val="20"/>
                <w:lang w:eastAsia="pl-PL"/>
              </w:rPr>
            </w:pPr>
          </w:p>
        </w:tc>
        <w:tc>
          <w:tcPr>
            <w:tcW w:w="4750" w:type="dxa"/>
            <w:vAlign w:val="bottom"/>
          </w:tcPr>
          <w:p w14:paraId="3F68FBF5" w14:textId="77777777" w:rsidR="008F084B" w:rsidRPr="009A22C3" w:rsidRDefault="008F084B" w:rsidP="00CD0946">
            <w:pPr>
              <w:autoSpaceDE w:val="0"/>
              <w:autoSpaceDN w:val="0"/>
              <w:adjustRightInd w:val="0"/>
              <w:jc w:val="center"/>
              <w:rPr>
                <w:rFonts w:ascii="Times New Roman" w:eastAsia="Calibri" w:hAnsi="Times New Roman" w:cs="Times New Roman"/>
                <w:sz w:val="20"/>
                <w:szCs w:val="20"/>
              </w:rPr>
            </w:pPr>
            <w:r w:rsidRPr="009A22C3">
              <w:rPr>
                <w:rFonts w:ascii="Times New Roman" w:eastAsia="Calibri" w:hAnsi="Times New Roman" w:cs="Times New Roman"/>
                <w:sz w:val="20"/>
                <w:szCs w:val="20"/>
              </w:rPr>
              <w:t>Skumulowane ujemne zmiany</w:t>
            </w:r>
          </w:p>
          <w:p w14:paraId="3996B50E" w14:textId="77777777" w:rsidR="008F084B" w:rsidRPr="009A22C3" w:rsidRDefault="008F084B" w:rsidP="00CD0946">
            <w:pPr>
              <w:jc w:val="center"/>
              <w:rPr>
                <w:rFonts w:ascii="Times New Roman" w:eastAsia="Times New Roman" w:hAnsi="Times New Roman" w:cs="Times New Roman"/>
                <w:sz w:val="20"/>
                <w:szCs w:val="20"/>
                <w:lang w:eastAsia="pl-PL"/>
              </w:rPr>
            </w:pPr>
          </w:p>
        </w:tc>
      </w:tr>
      <w:tr w:rsidR="009A22C3" w:rsidRPr="009A22C3" w14:paraId="56F72E19" w14:textId="77777777" w:rsidTr="00CD0946">
        <w:tc>
          <w:tcPr>
            <w:tcW w:w="421" w:type="dxa"/>
          </w:tcPr>
          <w:p w14:paraId="2B601537"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1</w:t>
            </w:r>
          </w:p>
        </w:tc>
        <w:tc>
          <w:tcPr>
            <w:tcW w:w="4109" w:type="dxa"/>
          </w:tcPr>
          <w:p w14:paraId="201A9D9F" w14:textId="77777777" w:rsidR="008F084B" w:rsidRPr="009A22C3" w:rsidRDefault="008F084B" w:rsidP="00CD0946">
            <w:pPr>
              <w:autoSpaceDE w:val="0"/>
              <w:autoSpaceDN w:val="0"/>
              <w:adjustRightInd w:val="0"/>
              <w:jc w:val="both"/>
              <w:rPr>
                <w:rFonts w:ascii="Times New Roman" w:eastAsia="Calibri" w:hAnsi="Times New Roman" w:cs="Times New Roman"/>
                <w:sz w:val="20"/>
                <w:szCs w:val="20"/>
              </w:rPr>
            </w:pPr>
            <w:r w:rsidRPr="009A22C3">
              <w:rPr>
                <w:rFonts w:ascii="Times New Roman" w:eastAsia="Calibri" w:hAnsi="Times New Roman" w:cs="Times New Roman"/>
                <w:sz w:val="20"/>
                <w:szCs w:val="20"/>
              </w:rPr>
              <w:t xml:space="preserve">Rzeczowe aktywa trwałe </w:t>
            </w:r>
          </w:p>
        </w:tc>
        <w:tc>
          <w:tcPr>
            <w:tcW w:w="4749" w:type="dxa"/>
          </w:tcPr>
          <w:p w14:paraId="381DB0E8" w14:textId="60D05698"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66188D72" w14:textId="75158183"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4E1817A0" w14:textId="77777777" w:rsidTr="00CD0946">
        <w:tc>
          <w:tcPr>
            <w:tcW w:w="421" w:type="dxa"/>
          </w:tcPr>
          <w:p w14:paraId="63B04D32"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2</w:t>
            </w:r>
          </w:p>
        </w:tc>
        <w:tc>
          <w:tcPr>
            <w:tcW w:w="4109" w:type="dxa"/>
          </w:tcPr>
          <w:p w14:paraId="7D8E6861" w14:textId="77777777" w:rsidR="008F084B" w:rsidRPr="009A22C3" w:rsidRDefault="008F084B" w:rsidP="00CD0946">
            <w:pPr>
              <w:autoSpaceDE w:val="0"/>
              <w:autoSpaceDN w:val="0"/>
              <w:adjustRightInd w:val="0"/>
              <w:jc w:val="both"/>
              <w:rPr>
                <w:rFonts w:ascii="Times New Roman" w:eastAsia="Calibri" w:hAnsi="Times New Roman" w:cs="Times New Roman"/>
                <w:sz w:val="20"/>
                <w:szCs w:val="20"/>
              </w:rPr>
            </w:pPr>
            <w:r w:rsidRPr="009A22C3">
              <w:rPr>
                <w:rFonts w:ascii="Times New Roman" w:eastAsia="Calibri" w:hAnsi="Times New Roman" w:cs="Times New Roman"/>
                <w:sz w:val="20"/>
                <w:szCs w:val="20"/>
              </w:rPr>
              <w:t xml:space="preserve">Inne niż rzeczowe aktywa trwałe </w:t>
            </w:r>
          </w:p>
        </w:tc>
        <w:tc>
          <w:tcPr>
            <w:tcW w:w="4749" w:type="dxa"/>
          </w:tcPr>
          <w:p w14:paraId="5B473CAF" w14:textId="68542730"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56EFF1B2" w14:textId="5516817D"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689F1F49" w14:textId="77777777" w:rsidTr="00CD0946">
        <w:tc>
          <w:tcPr>
            <w:tcW w:w="421" w:type="dxa"/>
          </w:tcPr>
          <w:p w14:paraId="0D4F266D"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3</w:t>
            </w:r>
          </w:p>
        </w:tc>
        <w:tc>
          <w:tcPr>
            <w:tcW w:w="4109" w:type="dxa"/>
          </w:tcPr>
          <w:p w14:paraId="3081DA26" w14:textId="77777777" w:rsidR="008F084B" w:rsidRPr="009A22C3" w:rsidRDefault="008F084B" w:rsidP="00CD0946">
            <w:pPr>
              <w:autoSpaceDE w:val="0"/>
              <w:autoSpaceDN w:val="0"/>
              <w:adjustRightInd w:val="0"/>
              <w:jc w:val="both"/>
              <w:rPr>
                <w:rFonts w:ascii="Times New Roman" w:eastAsia="Calibri" w:hAnsi="Times New Roman" w:cs="Times New Roman"/>
                <w:i/>
                <w:sz w:val="20"/>
                <w:szCs w:val="20"/>
              </w:rPr>
            </w:pPr>
            <w:r w:rsidRPr="009A22C3">
              <w:rPr>
                <w:rFonts w:ascii="Times New Roman" w:eastAsia="Calibri" w:hAnsi="Times New Roman" w:cs="Times New Roman"/>
                <w:i/>
                <w:iCs/>
                <w:sz w:val="20"/>
                <w:szCs w:val="20"/>
              </w:rPr>
              <w:t xml:space="preserve">Nieruchomości mieszkalne </w:t>
            </w:r>
          </w:p>
        </w:tc>
        <w:tc>
          <w:tcPr>
            <w:tcW w:w="4749" w:type="dxa"/>
          </w:tcPr>
          <w:p w14:paraId="009AA047" w14:textId="7F7038BF"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4703674F" w14:textId="5B727ED6"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6CC7948A" w14:textId="77777777" w:rsidTr="00CD0946">
        <w:tc>
          <w:tcPr>
            <w:tcW w:w="421" w:type="dxa"/>
          </w:tcPr>
          <w:p w14:paraId="3B8013CE"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4</w:t>
            </w:r>
          </w:p>
        </w:tc>
        <w:tc>
          <w:tcPr>
            <w:tcW w:w="4109" w:type="dxa"/>
          </w:tcPr>
          <w:p w14:paraId="3B8488F9" w14:textId="77777777" w:rsidR="008F084B" w:rsidRPr="009A22C3" w:rsidRDefault="008F084B" w:rsidP="00CD0946">
            <w:pPr>
              <w:jc w:val="both"/>
              <w:rPr>
                <w:rFonts w:ascii="Times New Roman" w:eastAsia="Times New Roman" w:hAnsi="Times New Roman" w:cs="Times New Roman"/>
                <w:i/>
                <w:sz w:val="20"/>
                <w:szCs w:val="20"/>
                <w:lang w:eastAsia="pl-PL"/>
              </w:rPr>
            </w:pPr>
            <w:r w:rsidRPr="009A22C3">
              <w:rPr>
                <w:rFonts w:ascii="Times New Roman" w:eastAsia="Times New Roman" w:hAnsi="Times New Roman" w:cs="Times New Roman"/>
                <w:i/>
                <w:sz w:val="20"/>
                <w:szCs w:val="20"/>
                <w:lang w:eastAsia="pl-PL"/>
              </w:rPr>
              <w:t>Nieruchomości komercyjne</w:t>
            </w:r>
          </w:p>
        </w:tc>
        <w:tc>
          <w:tcPr>
            <w:tcW w:w="4749" w:type="dxa"/>
          </w:tcPr>
          <w:p w14:paraId="668788B4" w14:textId="0F3DEF33"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78944FD5" w14:textId="5278BD32"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6D4B530D" w14:textId="77777777" w:rsidTr="00CD0946">
        <w:tc>
          <w:tcPr>
            <w:tcW w:w="421" w:type="dxa"/>
          </w:tcPr>
          <w:p w14:paraId="3F9A5D35"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5</w:t>
            </w:r>
          </w:p>
        </w:tc>
        <w:tc>
          <w:tcPr>
            <w:tcW w:w="4109" w:type="dxa"/>
          </w:tcPr>
          <w:p w14:paraId="1FF68376" w14:textId="77777777" w:rsidR="008F084B" w:rsidRPr="009A22C3" w:rsidRDefault="008F084B" w:rsidP="00CD0946">
            <w:pPr>
              <w:jc w:val="both"/>
              <w:rPr>
                <w:rFonts w:ascii="Times New Roman" w:eastAsia="Times New Roman" w:hAnsi="Times New Roman" w:cs="Times New Roman"/>
                <w:i/>
                <w:sz w:val="20"/>
                <w:szCs w:val="20"/>
                <w:lang w:eastAsia="pl-PL"/>
              </w:rPr>
            </w:pPr>
            <w:r w:rsidRPr="009A22C3">
              <w:rPr>
                <w:rFonts w:ascii="Times New Roman" w:eastAsia="Times New Roman" w:hAnsi="Times New Roman" w:cs="Times New Roman"/>
                <w:i/>
                <w:sz w:val="20"/>
                <w:szCs w:val="20"/>
                <w:lang w:eastAsia="pl-PL"/>
              </w:rPr>
              <w:t>Ruchomości (samochody, środki transportu itp.)</w:t>
            </w:r>
          </w:p>
        </w:tc>
        <w:tc>
          <w:tcPr>
            <w:tcW w:w="4749" w:type="dxa"/>
          </w:tcPr>
          <w:p w14:paraId="4F1E0B1A" w14:textId="560E3C16"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4E9CB7FD" w14:textId="7CFEFEC0"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4A6DA608" w14:textId="77777777" w:rsidTr="00CD0946">
        <w:tc>
          <w:tcPr>
            <w:tcW w:w="421" w:type="dxa"/>
          </w:tcPr>
          <w:p w14:paraId="7DBE1A5F"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6</w:t>
            </w:r>
          </w:p>
        </w:tc>
        <w:tc>
          <w:tcPr>
            <w:tcW w:w="4109" w:type="dxa"/>
          </w:tcPr>
          <w:p w14:paraId="0106AA13" w14:textId="77777777" w:rsidR="008F084B" w:rsidRPr="009A22C3" w:rsidRDefault="008F084B" w:rsidP="00CD0946">
            <w:pPr>
              <w:jc w:val="both"/>
              <w:rPr>
                <w:rFonts w:ascii="Times New Roman" w:eastAsia="Times New Roman" w:hAnsi="Times New Roman" w:cs="Times New Roman"/>
                <w:i/>
                <w:sz w:val="20"/>
                <w:szCs w:val="20"/>
                <w:lang w:eastAsia="pl-PL"/>
              </w:rPr>
            </w:pPr>
            <w:r w:rsidRPr="009A22C3">
              <w:rPr>
                <w:rFonts w:ascii="Times New Roman" w:eastAsia="Times New Roman" w:hAnsi="Times New Roman" w:cs="Times New Roman"/>
                <w:i/>
                <w:sz w:val="20"/>
                <w:szCs w:val="20"/>
                <w:lang w:eastAsia="pl-PL"/>
              </w:rPr>
              <w:t>Kapitał własny i instrumenty dłużne</w:t>
            </w:r>
          </w:p>
        </w:tc>
        <w:tc>
          <w:tcPr>
            <w:tcW w:w="4749" w:type="dxa"/>
          </w:tcPr>
          <w:p w14:paraId="77B73C3E" w14:textId="7B23F98C"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4B8F1035" w14:textId="5D8018EA"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7DA2BC73" w14:textId="77777777" w:rsidTr="00CD0946">
        <w:tc>
          <w:tcPr>
            <w:tcW w:w="421" w:type="dxa"/>
          </w:tcPr>
          <w:p w14:paraId="6B876682" w14:textId="77777777" w:rsidR="008F084B" w:rsidRPr="009A22C3" w:rsidRDefault="008F084B" w:rsidP="00CD0946">
            <w:pPr>
              <w:jc w:val="both"/>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7</w:t>
            </w:r>
          </w:p>
        </w:tc>
        <w:tc>
          <w:tcPr>
            <w:tcW w:w="4109" w:type="dxa"/>
          </w:tcPr>
          <w:p w14:paraId="44746EC1" w14:textId="77777777" w:rsidR="008F084B" w:rsidRPr="009A22C3" w:rsidRDefault="008F084B" w:rsidP="00CD0946">
            <w:pPr>
              <w:jc w:val="both"/>
              <w:rPr>
                <w:rFonts w:ascii="Times New Roman" w:eastAsia="Times New Roman" w:hAnsi="Times New Roman" w:cs="Times New Roman"/>
                <w:i/>
                <w:sz w:val="20"/>
                <w:szCs w:val="20"/>
                <w:lang w:eastAsia="pl-PL"/>
              </w:rPr>
            </w:pPr>
            <w:r w:rsidRPr="009A22C3">
              <w:rPr>
                <w:rFonts w:ascii="Times New Roman" w:eastAsia="Times New Roman" w:hAnsi="Times New Roman" w:cs="Times New Roman"/>
                <w:i/>
                <w:sz w:val="20"/>
                <w:szCs w:val="20"/>
                <w:lang w:eastAsia="pl-PL"/>
              </w:rPr>
              <w:t>Pozostałe</w:t>
            </w:r>
          </w:p>
        </w:tc>
        <w:tc>
          <w:tcPr>
            <w:tcW w:w="4749" w:type="dxa"/>
          </w:tcPr>
          <w:p w14:paraId="41C9C0BF" w14:textId="2E295CBB"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c>
          <w:tcPr>
            <w:tcW w:w="4750" w:type="dxa"/>
          </w:tcPr>
          <w:p w14:paraId="73F44908" w14:textId="1648AAF1" w:rsidR="008F084B" w:rsidRPr="009A22C3" w:rsidRDefault="008978F3" w:rsidP="008978F3">
            <w:pPr>
              <w:jc w:val="right"/>
              <w:rPr>
                <w:rFonts w:ascii="Times New Roman" w:eastAsia="Times New Roman" w:hAnsi="Times New Roman" w:cs="Times New Roman"/>
                <w:sz w:val="20"/>
                <w:szCs w:val="20"/>
                <w:lang w:eastAsia="pl-PL"/>
              </w:rPr>
            </w:pPr>
            <w:r w:rsidRPr="009A22C3">
              <w:rPr>
                <w:rFonts w:ascii="Times New Roman" w:eastAsia="Times New Roman" w:hAnsi="Times New Roman" w:cs="Times New Roman"/>
                <w:sz w:val="20"/>
                <w:szCs w:val="20"/>
                <w:lang w:eastAsia="pl-PL"/>
              </w:rPr>
              <w:t>-</w:t>
            </w:r>
          </w:p>
        </w:tc>
      </w:tr>
      <w:tr w:rsidR="009A22C3" w:rsidRPr="009A22C3" w14:paraId="5C555292" w14:textId="77777777" w:rsidTr="00CD0946">
        <w:tc>
          <w:tcPr>
            <w:tcW w:w="421" w:type="dxa"/>
          </w:tcPr>
          <w:p w14:paraId="6724946A" w14:textId="77777777" w:rsidR="008F084B" w:rsidRPr="009A22C3" w:rsidRDefault="008F084B" w:rsidP="00CD0946">
            <w:pPr>
              <w:jc w:val="both"/>
              <w:rPr>
                <w:rFonts w:ascii="Times New Roman" w:eastAsia="Times New Roman" w:hAnsi="Times New Roman" w:cs="Times New Roman"/>
                <w:b/>
                <w:sz w:val="20"/>
                <w:szCs w:val="20"/>
                <w:lang w:eastAsia="pl-PL"/>
              </w:rPr>
            </w:pPr>
            <w:r w:rsidRPr="009A22C3">
              <w:rPr>
                <w:rFonts w:ascii="Times New Roman" w:eastAsia="Times New Roman" w:hAnsi="Times New Roman" w:cs="Times New Roman"/>
                <w:b/>
                <w:sz w:val="20"/>
                <w:szCs w:val="20"/>
                <w:lang w:eastAsia="pl-PL"/>
              </w:rPr>
              <w:t>8</w:t>
            </w:r>
          </w:p>
        </w:tc>
        <w:tc>
          <w:tcPr>
            <w:tcW w:w="4109" w:type="dxa"/>
          </w:tcPr>
          <w:p w14:paraId="015EA477" w14:textId="77777777" w:rsidR="008F084B" w:rsidRPr="009A22C3" w:rsidRDefault="008F084B" w:rsidP="00CD0946">
            <w:pPr>
              <w:jc w:val="both"/>
              <w:rPr>
                <w:rFonts w:ascii="Times New Roman" w:eastAsia="Times New Roman" w:hAnsi="Times New Roman" w:cs="Times New Roman"/>
                <w:b/>
                <w:sz w:val="20"/>
                <w:szCs w:val="20"/>
                <w:lang w:eastAsia="pl-PL"/>
              </w:rPr>
            </w:pPr>
            <w:r w:rsidRPr="009A22C3">
              <w:rPr>
                <w:rFonts w:ascii="Times New Roman" w:eastAsia="Times New Roman" w:hAnsi="Times New Roman" w:cs="Times New Roman"/>
                <w:b/>
                <w:sz w:val="20"/>
                <w:szCs w:val="20"/>
                <w:lang w:eastAsia="pl-PL"/>
              </w:rPr>
              <w:t>Łącznie</w:t>
            </w:r>
          </w:p>
        </w:tc>
        <w:tc>
          <w:tcPr>
            <w:tcW w:w="4749" w:type="dxa"/>
          </w:tcPr>
          <w:p w14:paraId="26D829AC" w14:textId="03D748EE" w:rsidR="008F084B" w:rsidRPr="009A22C3" w:rsidRDefault="008978F3" w:rsidP="008978F3">
            <w:pPr>
              <w:jc w:val="right"/>
              <w:rPr>
                <w:rFonts w:ascii="Times New Roman" w:eastAsia="Times New Roman" w:hAnsi="Times New Roman" w:cs="Times New Roman"/>
                <w:b/>
                <w:sz w:val="20"/>
                <w:szCs w:val="20"/>
                <w:lang w:eastAsia="pl-PL"/>
              </w:rPr>
            </w:pPr>
            <w:r w:rsidRPr="009A22C3">
              <w:rPr>
                <w:rFonts w:ascii="Times New Roman" w:eastAsia="Times New Roman" w:hAnsi="Times New Roman" w:cs="Times New Roman"/>
                <w:b/>
                <w:sz w:val="20"/>
                <w:szCs w:val="20"/>
                <w:lang w:eastAsia="pl-PL"/>
              </w:rPr>
              <w:t>-</w:t>
            </w:r>
          </w:p>
        </w:tc>
        <w:tc>
          <w:tcPr>
            <w:tcW w:w="4750" w:type="dxa"/>
          </w:tcPr>
          <w:p w14:paraId="4DC3670E" w14:textId="7CD2A289" w:rsidR="008F084B" w:rsidRPr="009A22C3" w:rsidRDefault="008978F3" w:rsidP="008978F3">
            <w:pPr>
              <w:jc w:val="right"/>
              <w:rPr>
                <w:rFonts w:ascii="Times New Roman" w:eastAsia="Times New Roman" w:hAnsi="Times New Roman" w:cs="Times New Roman"/>
                <w:b/>
                <w:sz w:val="20"/>
                <w:szCs w:val="20"/>
                <w:lang w:eastAsia="pl-PL"/>
              </w:rPr>
            </w:pPr>
            <w:r w:rsidRPr="009A22C3">
              <w:rPr>
                <w:rFonts w:ascii="Times New Roman" w:eastAsia="Times New Roman" w:hAnsi="Times New Roman" w:cs="Times New Roman"/>
                <w:b/>
                <w:sz w:val="20"/>
                <w:szCs w:val="20"/>
                <w:lang w:eastAsia="pl-PL"/>
              </w:rPr>
              <w:t>-</w:t>
            </w:r>
          </w:p>
        </w:tc>
      </w:tr>
    </w:tbl>
    <w:p w14:paraId="504DA253" w14:textId="77777777" w:rsidR="008F084B" w:rsidRPr="009A22C3" w:rsidRDefault="008F084B" w:rsidP="008F084B">
      <w:pPr>
        <w:rPr>
          <w:rFonts w:ascii="Times New Roman" w:hAnsi="Times New Roman" w:cs="Times New Roman"/>
          <w:sz w:val="24"/>
          <w:szCs w:val="24"/>
        </w:rPr>
      </w:pPr>
    </w:p>
    <w:p w14:paraId="4D592A96" w14:textId="77777777" w:rsidR="008F084B" w:rsidRPr="00ED417D" w:rsidRDefault="008F084B" w:rsidP="008F084B">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color w:val="FF0000"/>
          <w:sz w:val="24"/>
          <w:szCs w:val="24"/>
        </w:rPr>
        <w:sectPr w:rsidR="008F084B" w:rsidRPr="00ED417D" w:rsidSect="00CD0946">
          <w:pgSz w:w="16838" w:h="11906" w:orient="landscape"/>
          <w:pgMar w:top="1418" w:right="1418" w:bottom="1418" w:left="1418" w:header="709" w:footer="709" w:gutter="0"/>
          <w:cols w:space="708"/>
          <w:docGrid w:linePitch="360"/>
        </w:sectPr>
      </w:pPr>
    </w:p>
    <w:p w14:paraId="70C38D90" w14:textId="77777777" w:rsidR="00383DDD" w:rsidRPr="00285950" w:rsidRDefault="00E06F9B"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285950">
        <w:rPr>
          <w:rFonts w:ascii="Century" w:hAnsi="Century" w:cs="Times New Roman"/>
          <w:b/>
          <w:sz w:val="24"/>
          <w:szCs w:val="24"/>
        </w:rPr>
        <w:lastRenderedPageBreak/>
        <w:t>Techniki ograniczania ryzyka kredytowego</w:t>
      </w:r>
    </w:p>
    <w:p w14:paraId="191ABBAF" w14:textId="77777777" w:rsidR="00B41B0C" w:rsidRPr="00285950" w:rsidRDefault="00B41B0C" w:rsidP="00236DB6">
      <w:pPr>
        <w:spacing w:after="0" w:line="240" w:lineRule="auto"/>
        <w:rPr>
          <w:rFonts w:ascii="Times New Roman" w:hAnsi="Times New Roman" w:cs="Times New Roman"/>
          <w:sz w:val="24"/>
          <w:szCs w:val="24"/>
        </w:rPr>
      </w:pPr>
    </w:p>
    <w:p w14:paraId="319EF17B" w14:textId="77777777" w:rsidR="0021219A" w:rsidRPr="00285950" w:rsidRDefault="00B41B0C" w:rsidP="00236DB6">
      <w:pPr>
        <w:spacing w:after="0" w:line="240" w:lineRule="auto"/>
        <w:rPr>
          <w:rFonts w:ascii="Times New Roman" w:hAnsi="Times New Roman" w:cs="Times New Roman"/>
          <w:sz w:val="24"/>
          <w:szCs w:val="24"/>
        </w:rPr>
      </w:pPr>
      <w:r w:rsidRPr="00285950">
        <w:rPr>
          <w:rFonts w:ascii="Times New Roman" w:hAnsi="Times New Roman" w:cs="Times New Roman"/>
          <w:sz w:val="24"/>
          <w:szCs w:val="24"/>
        </w:rPr>
        <w:t>Techniki redukcji ryzyka kredytowego Bank stosuje w zakresie:</w:t>
      </w:r>
    </w:p>
    <w:p w14:paraId="39A2CB68" w14:textId="77777777" w:rsidR="00B41B0C" w:rsidRPr="00285950" w:rsidRDefault="00A77BC0" w:rsidP="000C62C3">
      <w:pPr>
        <w:pStyle w:val="Akapitzlist"/>
        <w:numPr>
          <w:ilvl w:val="0"/>
          <w:numId w:val="13"/>
        </w:numPr>
        <w:spacing w:after="0" w:line="240" w:lineRule="auto"/>
        <w:ind w:left="426" w:hanging="426"/>
        <w:rPr>
          <w:rFonts w:ascii="Times New Roman" w:hAnsi="Times New Roman" w:cs="Times New Roman"/>
          <w:sz w:val="24"/>
          <w:szCs w:val="24"/>
        </w:rPr>
      </w:pPr>
      <w:r w:rsidRPr="00285950">
        <w:rPr>
          <w:rFonts w:ascii="Times New Roman" w:hAnsi="Times New Roman" w:cs="Times New Roman"/>
          <w:sz w:val="24"/>
          <w:szCs w:val="24"/>
        </w:rPr>
        <w:t>t</w:t>
      </w:r>
      <w:r w:rsidR="00B41B0C" w:rsidRPr="00285950">
        <w:rPr>
          <w:rFonts w:ascii="Times New Roman" w:hAnsi="Times New Roman" w:cs="Times New Roman"/>
          <w:sz w:val="24"/>
          <w:szCs w:val="24"/>
        </w:rPr>
        <w:t>worzenia rezerw celowych i odpisów na odsetki – w zakresie pomniejszania podstawy ich naliczania</w:t>
      </w:r>
      <w:r w:rsidR="00CD0A9E" w:rsidRPr="00285950">
        <w:rPr>
          <w:rFonts w:ascii="Times New Roman" w:hAnsi="Times New Roman" w:cs="Times New Roman"/>
          <w:sz w:val="24"/>
          <w:szCs w:val="24"/>
        </w:rPr>
        <w:t>:</w:t>
      </w:r>
    </w:p>
    <w:p w14:paraId="356238D0" w14:textId="77777777" w:rsidR="00CD0A9E" w:rsidRPr="00ED417D" w:rsidRDefault="00CD0A9E" w:rsidP="00CD0A9E">
      <w:pPr>
        <w:pStyle w:val="Akapitzlist"/>
        <w:spacing w:after="0" w:line="240" w:lineRule="auto"/>
        <w:ind w:left="426"/>
        <w:rPr>
          <w:rFonts w:ascii="Times New Roman" w:hAnsi="Times New Roman" w:cs="Times New Roman"/>
          <w:color w:val="FF0000"/>
          <w:sz w:val="24"/>
          <w:szCs w:val="24"/>
        </w:rPr>
      </w:pPr>
    </w:p>
    <w:tbl>
      <w:tblPr>
        <w:tblStyle w:val="Tabela-Siatka"/>
        <w:tblpPr w:leftFromText="141" w:rightFromText="141" w:vertAnchor="text" w:tblpY="1"/>
        <w:tblOverlap w:val="never"/>
        <w:tblW w:w="8756" w:type="dxa"/>
        <w:tblLook w:val="04A0" w:firstRow="1" w:lastRow="0" w:firstColumn="1" w:lastColumn="0" w:noHBand="0" w:noVBand="1"/>
      </w:tblPr>
      <w:tblGrid>
        <w:gridCol w:w="3936"/>
        <w:gridCol w:w="4820"/>
      </w:tblGrid>
      <w:tr w:rsidR="00ED417D" w:rsidRPr="00ED417D" w14:paraId="4710C1B1" w14:textId="77777777" w:rsidTr="00CD0A9E">
        <w:tc>
          <w:tcPr>
            <w:tcW w:w="3936" w:type="dxa"/>
            <w:shd w:val="clear" w:color="auto" w:fill="D9D9D9" w:themeFill="background1" w:themeFillShade="D9"/>
            <w:vAlign w:val="center"/>
          </w:tcPr>
          <w:p w14:paraId="142A49D9" w14:textId="77777777" w:rsidR="00CD0A9E" w:rsidRPr="009A22C3" w:rsidRDefault="00CD0A9E" w:rsidP="00FE4A23">
            <w:pPr>
              <w:tabs>
                <w:tab w:val="left" w:pos="1970"/>
              </w:tabs>
              <w:jc w:val="center"/>
              <w:rPr>
                <w:rFonts w:ascii="Times New Roman" w:hAnsi="Times New Roman" w:cs="Times New Roman"/>
                <w:b/>
                <w:i/>
                <w:sz w:val="20"/>
                <w:szCs w:val="20"/>
              </w:rPr>
            </w:pPr>
            <w:r w:rsidRPr="009A22C3">
              <w:rPr>
                <w:rFonts w:ascii="Times New Roman" w:hAnsi="Times New Roman" w:cs="Times New Roman"/>
                <w:b/>
                <w:i/>
                <w:sz w:val="20"/>
                <w:szCs w:val="20"/>
              </w:rPr>
              <w:t>Rodzaj zabezpieczenia</w:t>
            </w:r>
          </w:p>
        </w:tc>
        <w:tc>
          <w:tcPr>
            <w:tcW w:w="4820" w:type="dxa"/>
            <w:shd w:val="clear" w:color="auto" w:fill="D9D9D9" w:themeFill="background1" w:themeFillShade="D9"/>
            <w:vAlign w:val="center"/>
          </w:tcPr>
          <w:p w14:paraId="355FCBD8" w14:textId="77777777" w:rsidR="00CD0A9E" w:rsidRPr="009A22C3" w:rsidRDefault="00CD0A9E" w:rsidP="00FE4A23">
            <w:pPr>
              <w:jc w:val="center"/>
              <w:rPr>
                <w:rFonts w:ascii="Times New Roman" w:hAnsi="Times New Roman" w:cs="Times New Roman"/>
                <w:b/>
                <w:i/>
                <w:sz w:val="20"/>
                <w:szCs w:val="20"/>
              </w:rPr>
            </w:pPr>
            <w:r w:rsidRPr="009A22C3">
              <w:rPr>
                <w:rFonts w:ascii="Times New Roman" w:hAnsi="Times New Roman" w:cs="Times New Roman"/>
                <w:b/>
                <w:i/>
                <w:sz w:val="20"/>
                <w:szCs w:val="20"/>
              </w:rPr>
              <w:t>Wartość ekspozycji kredytowych (bilansowa brutto) dla których Bank stosuje pomniejszenie podstawy naliczania rezerw celowych</w:t>
            </w:r>
          </w:p>
          <w:p w14:paraId="371BF848" w14:textId="77777777" w:rsidR="00CD0A9E" w:rsidRPr="009A22C3" w:rsidRDefault="00CD0A9E" w:rsidP="00FE4A23">
            <w:pPr>
              <w:jc w:val="center"/>
              <w:rPr>
                <w:rFonts w:ascii="Times New Roman" w:hAnsi="Times New Roman" w:cs="Times New Roman"/>
                <w:b/>
                <w:i/>
                <w:sz w:val="20"/>
                <w:szCs w:val="20"/>
              </w:rPr>
            </w:pPr>
            <w:r w:rsidRPr="009A22C3">
              <w:rPr>
                <w:rFonts w:ascii="Times New Roman" w:hAnsi="Times New Roman" w:cs="Times New Roman"/>
                <w:b/>
                <w:i/>
                <w:sz w:val="20"/>
                <w:szCs w:val="20"/>
              </w:rPr>
              <w:t>tys. zł</w:t>
            </w:r>
          </w:p>
        </w:tc>
      </w:tr>
      <w:tr w:rsidR="00ED417D" w:rsidRPr="00ED417D" w14:paraId="2E34EEFE" w14:textId="77777777" w:rsidTr="00CD0A9E">
        <w:tc>
          <w:tcPr>
            <w:tcW w:w="3936" w:type="dxa"/>
          </w:tcPr>
          <w:p w14:paraId="68E36D7A" w14:textId="6030FA27" w:rsidR="00CD0A9E" w:rsidRPr="009A22C3" w:rsidRDefault="00CD0A9E" w:rsidP="00A269D6">
            <w:pPr>
              <w:pStyle w:val="Tekstpodstawowy2"/>
              <w:ind w:left="1" w:hanging="1"/>
              <w:jc w:val="left"/>
              <w:rPr>
                <w:rFonts w:ascii="Times New Roman" w:hAnsi="Times New Roman" w:cs="Times New Roman"/>
                <w:sz w:val="20"/>
                <w:szCs w:val="20"/>
              </w:rPr>
            </w:pPr>
            <w:r w:rsidRPr="009A22C3">
              <w:rPr>
                <w:rFonts w:ascii="Times New Roman" w:hAnsi="Times New Roman" w:cs="Times New Roman"/>
                <w:sz w:val="20"/>
                <w:szCs w:val="20"/>
              </w:rPr>
              <w:t>Hipoteka na nieruchomości</w:t>
            </w:r>
            <w:r w:rsidR="00EC3A15" w:rsidRPr="009A22C3">
              <w:rPr>
                <w:rFonts w:ascii="Times New Roman" w:hAnsi="Times New Roman" w:cs="Times New Roman"/>
                <w:sz w:val="20"/>
                <w:szCs w:val="20"/>
              </w:rPr>
              <w:t xml:space="preserve"> mieszkalnej</w:t>
            </w:r>
          </w:p>
        </w:tc>
        <w:tc>
          <w:tcPr>
            <w:tcW w:w="4820" w:type="dxa"/>
          </w:tcPr>
          <w:p w14:paraId="77EBDAC7" w14:textId="62336BB8" w:rsidR="00CD0A9E" w:rsidRPr="009A22C3" w:rsidRDefault="009A22C3" w:rsidP="00EC3A15">
            <w:pPr>
              <w:pStyle w:val="Tekstpodstawowywcity"/>
              <w:spacing w:after="0"/>
              <w:ind w:left="0"/>
              <w:jc w:val="right"/>
              <w:rPr>
                <w:rFonts w:ascii="Times New Roman" w:hAnsi="Times New Roman" w:cs="Times New Roman"/>
                <w:sz w:val="20"/>
                <w:szCs w:val="20"/>
              </w:rPr>
            </w:pPr>
            <w:r w:rsidRPr="009A22C3">
              <w:rPr>
                <w:rFonts w:ascii="Times New Roman" w:hAnsi="Times New Roman" w:cs="Times New Roman"/>
                <w:sz w:val="20"/>
                <w:szCs w:val="20"/>
              </w:rPr>
              <w:t>397,02</w:t>
            </w:r>
          </w:p>
        </w:tc>
      </w:tr>
    </w:tbl>
    <w:p w14:paraId="3BAA4261" w14:textId="77777777" w:rsidR="00CD0A9E" w:rsidRPr="00ED417D" w:rsidRDefault="00CD0A9E" w:rsidP="009A22C3">
      <w:pPr>
        <w:pStyle w:val="Akapitzlist"/>
        <w:spacing w:after="0" w:line="240" w:lineRule="auto"/>
        <w:ind w:left="426"/>
        <w:jc w:val="both"/>
        <w:rPr>
          <w:rFonts w:ascii="Times New Roman" w:hAnsi="Times New Roman" w:cs="Times New Roman"/>
          <w:color w:val="FF0000"/>
          <w:sz w:val="24"/>
          <w:szCs w:val="24"/>
        </w:rPr>
      </w:pPr>
    </w:p>
    <w:p w14:paraId="0DC146AD" w14:textId="0182D666" w:rsidR="00B00C6A" w:rsidRPr="009A22C3" w:rsidRDefault="00B00C6A" w:rsidP="009A22C3">
      <w:pPr>
        <w:pStyle w:val="Akapitzlist"/>
        <w:numPr>
          <w:ilvl w:val="0"/>
          <w:numId w:val="13"/>
        </w:numPr>
        <w:spacing w:after="0" w:line="240" w:lineRule="auto"/>
        <w:ind w:left="426" w:hanging="426"/>
        <w:jc w:val="both"/>
        <w:rPr>
          <w:rFonts w:ascii="Times New Roman" w:hAnsi="Times New Roman" w:cs="Times New Roman"/>
          <w:sz w:val="24"/>
          <w:szCs w:val="24"/>
        </w:rPr>
      </w:pPr>
      <w:r w:rsidRPr="009A22C3">
        <w:rPr>
          <w:rFonts w:ascii="Times New Roman" w:hAnsi="Times New Roman" w:cs="Times New Roman"/>
          <w:sz w:val="24"/>
          <w:szCs w:val="24"/>
        </w:rPr>
        <w:t>wyznaczania aktywów ważonych ryzykiem – w zakresie zamiany wagi ryzyka kontrahent</w:t>
      </w:r>
      <w:r w:rsidR="006D3CC6" w:rsidRPr="009A22C3">
        <w:rPr>
          <w:rFonts w:ascii="Times New Roman" w:hAnsi="Times New Roman" w:cs="Times New Roman"/>
          <w:sz w:val="24"/>
          <w:szCs w:val="24"/>
        </w:rPr>
        <w:t>a na wagę ryzyka zabezpieczenia</w:t>
      </w:r>
      <w:r w:rsidR="00C52B85" w:rsidRPr="009A22C3">
        <w:rPr>
          <w:rFonts w:ascii="Times New Roman" w:hAnsi="Times New Roman" w:cs="Times New Roman"/>
          <w:sz w:val="24"/>
          <w:szCs w:val="24"/>
        </w:rPr>
        <w:t xml:space="preserve"> lub stosowania preferencyjnej wagi ryzyka 35%</w:t>
      </w:r>
      <w:r w:rsidR="006D3CC6" w:rsidRPr="009A22C3">
        <w:rPr>
          <w:rFonts w:ascii="Times New Roman" w:hAnsi="Times New Roman" w:cs="Times New Roman"/>
          <w:sz w:val="24"/>
          <w:szCs w:val="24"/>
        </w:rPr>
        <w:t>:</w:t>
      </w:r>
    </w:p>
    <w:p w14:paraId="1367B01E" w14:textId="77777777" w:rsidR="00967662" w:rsidRPr="009A22C3" w:rsidRDefault="00967662" w:rsidP="00967662">
      <w:pPr>
        <w:pStyle w:val="Akapitzlist"/>
        <w:spacing w:after="0" w:line="240" w:lineRule="auto"/>
        <w:ind w:left="426"/>
        <w:rPr>
          <w:rFonts w:ascii="Times New Roman" w:hAnsi="Times New Roman" w:cs="Times New Roman"/>
          <w:sz w:val="24"/>
          <w:szCs w:val="24"/>
        </w:rPr>
      </w:pPr>
    </w:p>
    <w:p w14:paraId="3D471D94" w14:textId="31E23341" w:rsidR="00967662" w:rsidRPr="009A22C3" w:rsidRDefault="00967662" w:rsidP="009A22C3">
      <w:pPr>
        <w:pStyle w:val="Akapitzlist"/>
        <w:spacing w:after="0" w:line="240" w:lineRule="auto"/>
        <w:ind w:left="426"/>
        <w:jc w:val="both"/>
        <w:rPr>
          <w:rFonts w:ascii="Times New Roman" w:hAnsi="Times New Roman" w:cs="Times New Roman"/>
          <w:sz w:val="24"/>
          <w:szCs w:val="24"/>
        </w:rPr>
      </w:pPr>
      <w:r w:rsidRPr="009A22C3">
        <w:rPr>
          <w:rFonts w:ascii="Times New Roman" w:hAnsi="Times New Roman" w:cs="Times New Roman"/>
          <w:sz w:val="24"/>
          <w:szCs w:val="24"/>
        </w:rPr>
        <w:t>Bank nie wyznacza aktywów ważonych ryzykiem – w zakresie zmiany wagi ryzyka kontrahenta na wagę ryzyka zabezpieczenia lub stosowania preferencyjnej wagi ryzyka 35%</w:t>
      </w:r>
    </w:p>
    <w:p w14:paraId="4DD50DE5" w14:textId="77777777" w:rsidR="00967662" w:rsidRPr="00ED417D" w:rsidRDefault="00967662" w:rsidP="00967662">
      <w:pPr>
        <w:pStyle w:val="Akapitzlist"/>
        <w:spacing w:after="0" w:line="240" w:lineRule="auto"/>
        <w:ind w:left="426"/>
        <w:rPr>
          <w:rFonts w:ascii="Times New Roman" w:hAnsi="Times New Roman" w:cs="Times New Roman"/>
          <w:color w:val="FF0000"/>
          <w:sz w:val="24"/>
          <w:szCs w:val="24"/>
        </w:rPr>
      </w:pPr>
    </w:p>
    <w:p w14:paraId="168A3A7E" w14:textId="77777777" w:rsidR="005F2DED" w:rsidRPr="00285950" w:rsidRDefault="005F2DED"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285950">
        <w:rPr>
          <w:rFonts w:ascii="Century" w:hAnsi="Century" w:cs="Times New Roman"/>
          <w:b/>
          <w:sz w:val="24"/>
          <w:szCs w:val="24"/>
        </w:rPr>
        <w:t>Korzystanie z ocen zewnętrznych instytucji ocen</w:t>
      </w:r>
      <w:r w:rsidR="00C01951" w:rsidRPr="00285950">
        <w:rPr>
          <w:rFonts w:ascii="Century" w:hAnsi="Century" w:cs="Times New Roman"/>
          <w:b/>
          <w:sz w:val="24"/>
          <w:szCs w:val="24"/>
        </w:rPr>
        <w:t>y wiarygodności kredytowej ECAI</w:t>
      </w:r>
    </w:p>
    <w:p w14:paraId="4FF2A1A1" w14:textId="77777777" w:rsidR="005F2DED" w:rsidRPr="00285950" w:rsidRDefault="005F2DED" w:rsidP="00FE658B">
      <w:pPr>
        <w:spacing w:after="0" w:line="240" w:lineRule="auto"/>
        <w:jc w:val="both"/>
        <w:rPr>
          <w:rFonts w:ascii="Times New Roman" w:hAnsi="Times New Roman" w:cs="Times New Roman"/>
          <w:sz w:val="24"/>
          <w:szCs w:val="24"/>
        </w:rPr>
      </w:pPr>
    </w:p>
    <w:p w14:paraId="2A2F7D9F" w14:textId="77777777" w:rsidR="00FE658B" w:rsidRPr="00285950" w:rsidRDefault="00093C38" w:rsidP="00C14331">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 xml:space="preserve">Bank </w:t>
      </w:r>
      <w:r w:rsidR="00C14331" w:rsidRPr="00285950">
        <w:rPr>
          <w:rFonts w:ascii="Times New Roman" w:hAnsi="Times New Roman" w:cs="Times New Roman"/>
          <w:sz w:val="24"/>
          <w:szCs w:val="24"/>
        </w:rPr>
        <w:t xml:space="preserve">nie </w:t>
      </w:r>
      <w:r w:rsidRPr="00285950">
        <w:rPr>
          <w:rFonts w:ascii="Times New Roman" w:hAnsi="Times New Roman" w:cs="Times New Roman"/>
          <w:sz w:val="24"/>
          <w:szCs w:val="24"/>
        </w:rPr>
        <w:t xml:space="preserve">wykorzystuje ocen zewnętrznych instytucji oceny wiarygodności kredytowej ECAI </w:t>
      </w:r>
      <w:r w:rsidR="00C14331" w:rsidRPr="00285950">
        <w:rPr>
          <w:rFonts w:ascii="Times New Roman" w:hAnsi="Times New Roman" w:cs="Times New Roman"/>
          <w:sz w:val="24"/>
          <w:szCs w:val="24"/>
        </w:rPr>
        <w:t>dla</w:t>
      </w:r>
      <w:r w:rsidRPr="00285950">
        <w:rPr>
          <w:rFonts w:ascii="Times New Roman" w:hAnsi="Times New Roman" w:cs="Times New Roman"/>
          <w:sz w:val="24"/>
          <w:szCs w:val="24"/>
        </w:rPr>
        <w:t xml:space="preserve"> potrzeb wyznacz</w:t>
      </w:r>
      <w:r w:rsidR="00C14331" w:rsidRPr="00285950">
        <w:rPr>
          <w:rFonts w:ascii="Times New Roman" w:hAnsi="Times New Roman" w:cs="Times New Roman"/>
          <w:sz w:val="24"/>
          <w:szCs w:val="24"/>
        </w:rPr>
        <w:t xml:space="preserve">ania aktywów ważonych ryzykiem. </w:t>
      </w:r>
    </w:p>
    <w:p w14:paraId="5AF900A4" w14:textId="77777777" w:rsidR="00E268EA" w:rsidRPr="00ED417D" w:rsidRDefault="00E268EA" w:rsidP="00595E9E">
      <w:pPr>
        <w:spacing w:after="0" w:line="240" w:lineRule="auto"/>
        <w:rPr>
          <w:rFonts w:ascii="Times New Roman" w:hAnsi="Times New Roman" w:cs="Times New Roman"/>
          <w:color w:val="FF0000"/>
          <w:sz w:val="24"/>
          <w:szCs w:val="24"/>
        </w:rPr>
      </w:pPr>
    </w:p>
    <w:p w14:paraId="1D9A815A" w14:textId="77777777" w:rsidR="009B3CEF" w:rsidRPr="00285950" w:rsidRDefault="00962E5E"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285950">
        <w:rPr>
          <w:rFonts w:ascii="Century" w:hAnsi="Century" w:cs="Times New Roman"/>
          <w:b/>
          <w:sz w:val="24"/>
          <w:szCs w:val="24"/>
        </w:rPr>
        <w:t>Ryzyko rynkowe</w:t>
      </w:r>
    </w:p>
    <w:p w14:paraId="4B611124" w14:textId="77777777" w:rsidR="00962E5E" w:rsidRPr="00ED417D" w:rsidRDefault="00962E5E" w:rsidP="00236DB6">
      <w:pPr>
        <w:spacing w:after="0" w:line="240" w:lineRule="auto"/>
        <w:jc w:val="center"/>
        <w:rPr>
          <w:rFonts w:ascii="Times New Roman" w:hAnsi="Times New Roman" w:cs="Times New Roman"/>
          <w:color w:val="FF0000"/>
          <w:sz w:val="24"/>
          <w:szCs w:val="24"/>
        </w:rPr>
      </w:pPr>
    </w:p>
    <w:p w14:paraId="65DB7BCD" w14:textId="535C0988" w:rsidR="006B2447" w:rsidRPr="00285950" w:rsidRDefault="00560609" w:rsidP="00322CE8">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 xml:space="preserve">Bank nie był zobowiązany to utworzenia </w:t>
      </w:r>
      <w:r w:rsidR="00F84961" w:rsidRPr="00285950">
        <w:rPr>
          <w:rFonts w:ascii="Times New Roman" w:hAnsi="Times New Roman" w:cs="Times New Roman"/>
          <w:sz w:val="24"/>
          <w:szCs w:val="24"/>
        </w:rPr>
        <w:t>wymo</w:t>
      </w:r>
      <w:r w:rsidR="00D105CA" w:rsidRPr="00285950">
        <w:rPr>
          <w:rFonts w:ascii="Times New Roman" w:hAnsi="Times New Roman" w:cs="Times New Roman"/>
          <w:sz w:val="24"/>
          <w:szCs w:val="24"/>
        </w:rPr>
        <w:t xml:space="preserve">gu </w:t>
      </w:r>
      <w:r w:rsidR="00322CE8" w:rsidRPr="00285950">
        <w:rPr>
          <w:rFonts w:ascii="Times New Roman" w:hAnsi="Times New Roman" w:cs="Times New Roman"/>
          <w:sz w:val="24"/>
          <w:szCs w:val="24"/>
        </w:rPr>
        <w:t xml:space="preserve">kapitałowego </w:t>
      </w:r>
      <w:r w:rsidR="00D105CA" w:rsidRPr="00285950">
        <w:rPr>
          <w:rFonts w:ascii="Times New Roman" w:hAnsi="Times New Roman" w:cs="Times New Roman"/>
          <w:sz w:val="24"/>
          <w:szCs w:val="24"/>
        </w:rPr>
        <w:t>w zakresie ryzyka walutowego według stanu na datę sporządzania informacji</w:t>
      </w:r>
      <w:r w:rsidRPr="00285950">
        <w:rPr>
          <w:rFonts w:ascii="Times New Roman" w:hAnsi="Times New Roman" w:cs="Times New Roman"/>
          <w:sz w:val="24"/>
          <w:szCs w:val="24"/>
        </w:rPr>
        <w:t>.</w:t>
      </w:r>
    </w:p>
    <w:p w14:paraId="30294CA1" w14:textId="77777777" w:rsidR="006B2447" w:rsidRPr="00ED417D" w:rsidRDefault="006B2447" w:rsidP="00236DB6">
      <w:pPr>
        <w:spacing w:after="0" w:line="240" w:lineRule="auto"/>
        <w:rPr>
          <w:rFonts w:ascii="Times New Roman" w:hAnsi="Times New Roman" w:cs="Times New Roman"/>
          <w:color w:val="FF0000"/>
          <w:sz w:val="24"/>
          <w:szCs w:val="24"/>
        </w:rPr>
      </w:pPr>
    </w:p>
    <w:p w14:paraId="3B6D7835" w14:textId="77777777" w:rsidR="006B2447" w:rsidRPr="00285950" w:rsidRDefault="00C67610"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285950">
        <w:rPr>
          <w:rFonts w:ascii="Century" w:hAnsi="Century" w:cs="Times New Roman"/>
          <w:b/>
          <w:sz w:val="24"/>
          <w:szCs w:val="24"/>
        </w:rPr>
        <w:t>Ryzyko operacyjne</w:t>
      </w:r>
    </w:p>
    <w:p w14:paraId="71A95A2C" w14:textId="77777777" w:rsidR="00C67610" w:rsidRPr="00ED417D" w:rsidRDefault="00C67610" w:rsidP="007C2647">
      <w:pPr>
        <w:spacing w:after="0" w:line="240" w:lineRule="auto"/>
        <w:jc w:val="both"/>
        <w:rPr>
          <w:rFonts w:ascii="Times New Roman" w:hAnsi="Times New Roman" w:cs="Times New Roman"/>
          <w:color w:val="FF0000"/>
          <w:sz w:val="24"/>
          <w:szCs w:val="24"/>
        </w:rPr>
      </w:pPr>
    </w:p>
    <w:p w14:paraId="08F550C9" w14:textId="77777777" w:rsidR="0041750B" w:rsidRPr="00285950" w:rsidRDefault="00322CE8" w:rsidP="007C2647">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 xml:space="preserve">Bank wyznacza wymóg kapitałowy na ryzyko operacyjne metodą wskaźnika podstawowego. </w:t>
      </w:r>
    </w:p>
    <w:p w14:paraId="4628D9CE" w14:textId="77777777" w:rsidR="00322CE8" w:rsidRPr="00285950" w:rsidRDefault="00322CE8" w:rsidP="007C2647">
      <w:pPr>
        <w:spacing w:after="0" w:line="240" w:lineRule="auto"/>
        <w:jc w:val="both"/>
        <w:rPr>
          <w:rFonts w:ascii="Times New Roman" w:hAnsi="Times New Roman" w:cs="Times New Roman"/>
          <w:sz w:val="24"/>
          <w:szCs w:val="24"/>
        </w:rPr>
      </w:pPr>
    </w:p>
    <w:p w14:paraId="1AFF2A46" w14:textId="705760E7" w:rsidR="00322CE8" w:rsidRPr="0057077F" w:rsidRDefault="00322CE8" w:rsidP="007C2647">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 xml:space="preserve">Kwota wymogu kapitałowego w zakresie ryzyka operacyjnego według stanu na datę sporządzania informacji wynosi </w:t>
      </w:r>
      <w:r w:rsidR="00892676" w:rsidRPr="00285950">
        <w:rPr>
          <w:rFonts w:ascii="Times New Roman" w:hAnsi="Times New Roman" w:cs="Times New Roman"/>
          <w:sz w:val="24"/>
          <w:szCs w:val="24"/>
        </w:rPr>
        <w:t>6</w:t>
      </w:r>
      <w:r w:rsidR="00285950" w:rsidRPr="00285950">
        <w:rPr>
          <w:rFonts w:ascii="Times New Roman" w:hAnsi="Times New Roman" w:cs="Times New Roman"/>
          <w:sz w:val="24"/>
          <w:szCs w:val="24"/>
        </w:rPr>
        <w:t>64,49</w:t>
      </w:r>
      <w:r w:rsidR="00892676" w:rsidRPr="00285950">
        <w:rPr>
          <w:rFonts w:ascii="Times New Roman" w:hAnsi="Times New Roman" w:cs="Times New Roman"/>
          <w:sz w:val="24"/>
          <w:szCs w:val="24"/>
        </w:rPr>
        <w:t xml:space="preserve"> </w:t>
      </w:r>
      <w:r w:rsidRPr="00285950">
        <w:rPr>
          <w:rFonts w:ascii="Times New Roman" w:hAnsi="Times New Roman" w:cs="Times New Roman"/>
          <w:sz w:val="24"/>
          <w:szCs w:val="24"/>
        </w:rPr>
        <w:t>tys.zł.</w:t>
      </w:r>
    </w:p>
    <w:p w14:paraId="4A05888F" w14:textId="77777777" w:rsidR="00250CA8" w:rsidRPr="00ED417D" w:rsidRDefault="00250CA8" w:rsidP="00236DB6">
      <w:pPr>
        <w:spacing w:after="0" w:line="240" w:lineRule="auto"/>
        <w:jc w:val="both"/>
        <w:rPr>
          <w:rFonts w:ascii="Times New Roman" w:hAnsi="Times New Roman" w:cs="Times New Roman"/>
          <w:color w:val="FF0000"/>
          <w:sz w:val="24"/>
          <w:szCs w:val="24"/>
        </w:rPr>
      </w:pPr>
    </w:p>
    <w:p w14:paraId="5154BA94" w14:textId="77777777" w:rsidR="00250CA8" w:rsidRPr="00285950" w:rsidRDefault="00DF172D"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285950">
        <w:rPr>
          <w:rFonts w:ascii="Century" w:hAnsi="Century" w:cs="Times New Roman"/>
          <w:b/>
          <w:sz w:val="24"/>
          <w:szCs w:val="24"/>
        </w:rPr>
        <w:t>Ekspozycje kapitałowe</w:t>
      </w:r>
    </w:p>
    <w:p w14:paraId="3A86976F" w14:textId="77777777" w:rsidR="006B2447" w:rsidRPr="00ED417D" w:rsidRDefault="006B2447" w:rsidP="00236DB6">
      <w:pPr>
        <w:spacing w:after="0" w:line="240" w:lineRule="auto"/>
        <w:rPr>
          <w:rFonts w:ascii="Times New Roman" w:hAnsi="Times New Roman" w:cs="Times New Roman"/>
          <w:color w:val="FF0000"/>
          <w:sz w:val="24"/>
          <w:szCs w:val="24"/>
        </w:rPr>
      </w:pPr>
    </w:p>
    <w:p w14:paraId="586C44BB" w14:textId="77777777" w:rsidR="006B2447" w:rsidRPr="00285950" w:rsidRDefault="00214316" w:rsidP="001776EA">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Ekspozycje kapitałowe wedle zamiaru ich nabycia oraz opis stosowanych metod wycen i zasad rachunkowości dla tych ekspozycji:</w:t>
      </w:r>
    </w:p>
    <w:tbl>
      <w:tblPr>
        <w:tblStyle w:val="Jasnasiatk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073"/>
        <w:gridCol w:w="2674"/>
      </w:tblGrid>
      <w:tr w:rsidR="00285950" w:rsidRPr="00285950" w14:paraId="501B055A" w14:textId="77777777" w:rsidTr="0057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shd w:val="clear" w:color="auto" w:fill="D9D9D9" w:themeFill="background1" w:themeFillShade="D9"/>
            <w:vAlign w:val="center"/>
          </w:tcPr>
          <w:p w14:paraId="4C9597BE" w14:textId="77777777" w:rsidR="00214316" w:rsidRPr="00285950" w:rsidRDefault="00214316" w:rsidP="00160077">
            <w:pPr>
              <w:tabs>
                <w:tab w:val="left" w:pos="1970"/>
              </w:tabs>
              <w:jc w:val="center"/>
              <w:rPr>
                <w:rFonts w:ascii="Times New Roman" w:hAnsi="Times New Roman" w:cs="Times New Roman"/>
                <w:i/>
                <w:sz w:val="20"/>
                <w:szCs w:val="20"/>
              </w:rPr>
            </w:pPr>
            <w:r w:rsidRPr="00285950">
              <w:rPr>
                <w:rFonts w:ascii="Times New Roman" w:hAnsi="Times New Roman" w:cs="Times New Roman"/>
                <w:i/>
                <w:sz w:val="20"/>
                <w:szCs w:val="20"/>
              </w:rPr>
              <w:t>Rodzaj ekspozycji</w:t>
            </w:r>
          </w:p>
        </w:tc>
        <w:tc>
          <w:tcPr>
            <w:tcW w:w="3076" w:type="dxa"/>
            <w:shd w:val="clear" w:color="auto" w:fill="D9D9D9" w:themeFill="background1" w:themeFillShade="D9"/>
            <w:vAlign w:val="center"/>
          </w:tcPr>
          <w:p w14:paraId="21EB3DC0" w14:textId="77777777" w:rsidR="00160077" w:rsidRPr="00285950" w:rsidRDefault="00214316" w:rsidP="00160077">
            <w:pPr>
              <w:tabs>
                <w:tab w:val="left" w:pos="197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Kwota zakupiona ze względu na</w:t>
            </w:r>
            <w:r w:rsidR="00160077" w:rsidRPr="00285950">
              <w:rPr>
                <w:rFonts w:ascii="Times New Roman" w:hAnsi="Times New Roman" w:cs="Times New Roman"/>
                <w:i/>
                <w:sz w:val="20"/>
                <w:szCs w:val="20"/>
              </w:rPr>
              <w:t>:</w:t>
            </w:r>
          </w:p>
          <w:p w14:paraId="58ACAD8A" w14:textId="77777777" w:rsidR="00214316" w:rsidRPr="00285950" w:rsidRDefault="00214316" w:rsidP="000C62C3">
            <w:pPr>
              <w:pStyle w:val="Akapitzlist"/>
              <w:numPr>
                <w:ilvl w:val="0"/>
                <w:numId w:val="14"/>
              </w:numPr>
              <w:tabs>
                <w:tab w:val="left" w:pos="1970"/>
              </w:tabs>
              <w:ind w:left="332" w:hanging="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zyski kapitałowe</w:t>
            </w:r>
          </w:p>
          <w:p w14:paraId="738A6936" w14:textId="77777777" w:rsidR="00160077" w:rsidRPr="00285950" w:rsidRDefault="00160077" w:rsidP="000C62C3">
            <w:pPr>
              <w:pStyle w:val="Akapitzlist"/>
              <w:numPr>
                <w:ilvl w:val="0"/>
                <w:numId w:val="14"/>
              </w:numPr>
              <w:tabs>
                <w:tab w:val="left" w:pos="1970"/>
              </w:tabs>
              <w:ind w:left="332" w:hanging="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zamiar strategiczny</w:t>
            </w:r>
          </w:p>
        </w:tc>
        <w:tc>
          <w:tcPr>
            <w:tcW w:w="2677" w:type="dxa"/>
            <w:shd w:val="clear" w:color="auto" w:fill="D9D9D9" w:themeFill="background1" w:themeFillShade="D9"/>
            <w:vAlign w:val="center"/>
          </w:tcPr>
          <w:p w14:paraId="1FF333E8" w14:textId="77777777" w:rsidR="00214316" w:rsidRPr="00285950" w:rsidRDefault="00160077" w:rsidP="00160077">
            <w:pPr>
              <w:tabs>
                <w:tab w:val="left" w:pos="1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Zasady wyceny</w:t>
            </w:r>
          </w:p>
        </w:tc>
      </w:tr>
      <w:tr w:rsidR="00285950" w:rsidRPr="00285950" w14:paraId="1368618E" w14:textId="77777777" w:rsidTr="0057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Borders>
              <w:bottom w:val="single" w:sz="4" w:space="0" w:color="auto"/>
            </w:tcBorders>
            <w:shd w:val="clear" w:color="auto" w:fill="auto"/>
          </w:tcPr>
          <w:p w14:paraId="37A91EC5" w14:textId="441C4677" w:rsidR="00214316" w:rsidRPr="00285950" w:rsidRDefault="008978F3" w:rsidP="00C14331">
            <w:pPr>
              <w:jc w:val="both"/>
              <w:rPr>
                <w:rFonts w:ascii="Times New Roman" w:hAnsi="Times New Roman" w:cs="Times New Roman"/>
                <w:b w:val="0"/>
                <w:bCs w:val="0"/>
                <w:iCs/>
                <w:sz w:val="20"/>
                <w:szCs w:val="20"/>
              </w:rPr>
            </w:pPr>
            <w:r w:rsidRPr="00285950">
              <w:rPr>
                <w:rFonts w:ascii="Times New Roman" w:hAnsi="Times New Roman" w:cs="Times New Roman"/>
                <w:b w:val="0"/>
                <w:bCs w:val="0"/>
                <w:iCs/>
                <w:sz w:val="20"/>
                <w:szCs w:val="20"/>
              </w:rPr>
              <w:t>A</w:t>
            </w:r>
            <w:r w:rsidR="00FC0813" w:rsidRPr="00285950">
              <w:rPr>
                <w:rFonts w:ascii="Times New Roman" w:hAnsi="Times New Roman" w:cs="Times New Roman"/>
                <w:b w:val="0"/>
                <w:bCs w:val="0"/>
                <w:iCs/>
                <w:sz w:val="20"/>
                <w:szCs w:val="20"/>
              </w:rPr>
              <w:t>kcje</w:t>
            </w:r>
            <w:r w:rsidR="00C14331" w:rsidRPr="00285950">
              <w:rPr>
                <w:rFonts w:ascii="Times New Roman" w:hAnsi="Times New Roman" w:cs="Times New Roman"/>
                <w:b w:val="0"/>
                <w:bCs w:val="0"/>
                <w:iCs/>
                <w:sz w:val="20"/>
                <w:szCs w:val="20"/>
              </w:rPr>
              <w:t xml:space="preserve"> </w:t>
            </w:r>
            <w:r w:rsidR="00570DC9" w:rsidRPr="00285950">
              <w:rPr>
                <w:rFonts w:ascii="Times New Roman" w:hAnsi="Times New Roman" w:cs="Times New Roman"/>
                <w:b w:val="0"/>
                <w:bCs w:val="0"/>
                <w:iCs/>
                <w:sz w:val="20"/>
                <w:szCs w:val="20"/>
              </w:rPr>
              <w:t>Banku BPS S.A.</w:t>
            </w:r>
          </w:p>
        </w:tc>
        <w:tc>
          <w:tcPr>
            <w:tcW w:w="3076" w:type="dxa"/>
            <w:tcBorders>
              <w:bottom w:val="single" w:sz="4" w:space="0" w:color="auto"/>
            </w:tcBorders>
            <w:shd w:val="clear" w:color="auto" w:fill="auto"/>
          </w:tcPr>
          <w:p w14:paraId="6E0E3392" w14:textId="77777777" w:rsidR="00214316" w:rsidRPr="00285950" w:rsidRDefault="00FC0813" w:rsidP="008978F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eastAsiaTheme="majorEastAsia" w:hAnsi="Times New Roman" w:cs="Times New Roman"/>
                <w:bCs/>
                <w:sz w:val="20"/>
                <w:szCs w:val="20"/>
              </w:rPr>
              <w:t>zamiar strategiczny</w:t>
            </w:r>
          </w:p>
        </w:tc>
        <w:tc>
          <w:tcPr>
            <w:tcW w:w="2677" w:type="dxa"/>
            <w:tcBorders>
              <w:bottom w:val="single" w:sz="4" w:space="0" w:color="auto"/>
            </w:tcBorders>
            <w:shd w:val="clear" w:color="auto" w:fill="auto"/>
          </w:tcPr>
          <w:p w14:paraId="31DD573C" w14:textId="361613C0" w:rsidR="00214316" w:rsidRPr="00285950" w:rsidRDefault="008978F3" w:rsidP="008978F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godziwa</w:t>
            </w:r>
          </w:p>
        </w:tc>
      </w:tr>
      <w:tr w:rsidR="00285950" w:rsidRPr="00285950" w14:paraId="0559AAA5" w14:textId="77777777" w:rsidTr="00570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Borders>
              <w:top w:val="single" w:sz="4" w:space="0" w:color="auto"/>
              <w:left w:val="single" w:sz="4" w:space="0" w:color="auto"/>
              <w:bottom w:val="single" w:sz="4" w:space="0" w:color="auto"/>
              <w:right w:val="single" w:sz="4" w:space="0" w:color="auto"/>
            </w:tcBorders>
            <w:shd w:val="clear" w:color="auto" w:fill="auto"/>
          </w:tcPr>
          <w:p w14:paraId="26734660" w14:textId="598BE8FC" w:rsidR="00570DC9" w:rsidRPr="00285950" w:rsidRDefault="00570DC9" w:rsidP="00570DC9">
            <w:pPr>
              <w:jc w:val="both"/>
              <w:rPr>
                <w:rFonts w:ascii="Times New Roman" w:hAnsi="Times New Roman" w:cs="Times New Roman"/>
                <w:b w:val="0"/>
                <w:bCs w:val="0"/>
                <w:iCs/>
                <w:sz w:val="20"/>
                <w:szCs w:val="20"/>
              </w:rPr>
            </w:pPr>
            <w:r w:rsidRPr="00285950">
              <w:rPr>
                <w:rFonts w:ascii="Times New Roman" w:hAnsi="Times New Roman" w:cs="Times New Roman"/>
                <w:b w:val="0"/>
                <w:bCs w:val="0"/>
                <w:iCs/>
                <w:sz w:val="20"/>
                <w:szCs w:val="20"/>
              </w:rPr>
              <w:t>Akcje Banku SGB S.A.</w:t>
            </w:r>
          </w:p>
        </w:tc>
        <w:tc>
          <w:tcPr>
            <w:tcW w:w="3076" w:type="dxa"/>
            <w:tcBorders>
              <w:bottom w:val="single" w:sz="4" w:space="0" w:color="auto"/>
            </w:tcBorders>
            <w:shd w:val="clear" w:color="auto" w:fill="auto"/>
          </w:tcPr>
          <w:p w14:paraId="2F5F96C9" w14:textId="1F562CCC" w:rsidR="00570DC9" w:rsidRPr="00285950" w:rsidRDefault="00570DC9" w:rsidP="00570D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85950">
              <w:rPr>
                <w:rFonts w:ascii="Times New Roman" w:eastAsiaTheme="majorEastAsia" w:hAnsi="Times New Roman" w:cs="Times New Roman"/>
                <w:bCs/>
                <w:sz w:val="20"/>
                <w:szCs w:val="20"/>
              </w:rPr>
              <w:t>zamiar strategiczny</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0128628F" w14:textId="15161F9D" w:rsidR="00570DC9" w:rsidRPr="00285950" w:rsidRDefault="00570DC9" w:rsidP="00570D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godziwa</w:t>
            </w:r>
          </w:p>
        </w:tc>
      </w:tr>
      <w:tr w:rsidR="00285950" w:rsidRPr="00285950" w14:paraId="40B7B897" w14:textId="77777777" w:rsidTr="002C7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Borders>
              <w:top w:val="single" w:sz="4" w:space="0" w:color="auto"/>
              <w:left w:val="single" w:sz="4" w:space="0" w:color="auto"/>
              <w:bottom w:val="single" w:sz="4" w:space="0" w:color="auto"/>
              <w:right w:val="single" w:sz="4" w:space="0" w:color="auto"/>
            </w:tcBorders>
            <w:shd w:val="clear" w:color="auto" w:fill="auto"/>
          </w:tcPr>
          <w:p w14:paraId="5BF4333D" w14:textId="13959218" w:rsidR="00570DC9" w:rsidRPr="00285950" w:rsidRDefault="00570DC9" w:rsidP="00570DC9">
            <w:pPr>
              <w:jc w:val="both"/>
              <w:rPr>
                <w:rFonts w:ascii="Times New Roman" w:hAnsi="Times New Roman" w:cs="Times New Roman"/>
                <w:b w:val="0"/>
                <w:bCs w:val="0"/>
                <w:iCs/>
                <w:sz w:val="20"/>
                <w:szCs w:val="20"/>
              </w:rPr>
            </w:pPr>
            <w:r w:rsidRPr="00285950">
              <w:rPr>
                <w:rFonts w:ascii="Times New Roman" w:hAnsi="Times New Roman" w:cs="Times New Roman"/>
                <w:b w:val="0"/>
                <w:bCs w:val="0"/>
                <w:iCs/>
                <w:sz w:val="20"/>
                <w:szCs w:val="20"/>
              </w:rPr>
              <w:t>Udziały SSOZ</w:t>
            </w:r>
          </w:p>
        </w:tc>
        <w:tc>
          <w:tcPr>
            <w:tcW w:w="3076" w:type="dxa"/>
            <w:tcBorders>
              <w:bottom w:val="single" w:sz="4" w:space="0" w:color="auto"/>
            </w:tcBorders>
            <w:shd w:val="clear" w:color="auto" w:fill="auto"/>
          </w:tcPr>
          <w:p w14:paraId="425E9272" w14:textId="1876DBC4"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eastAsiaTheme="majorEastAsia" w:hAnsi="Times New Roman" w:cs="Times New Roman"/>
                <w:bCs/>
                <w:sz w:val="20"/>
                <w:szCs w:val="20"/>
              </w:rPr>
              <w:t>zamiar strategiczny</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4124ED7D" w14:textId="0CC79185"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godziwa</w:t>
            </w:r>
          </w:p>
        </w:tc>
      </w:tr>
    </w:tbl>
    <w:p w14:paraId="641E137E" w14:textId="77777777" w:rsidR="0057077F" w:rsidRDefault="0057077F" w:rsidP="005C57F0">
      <w:pPr>
        <w:spacing w:after="0" w:line="240" w:lineRule="auto"/>
        <w:rPr>
          <w:rFonts w:ascii="Times New Roman" w:hAnsi="Times New Roman" w:cs="Times New Roman"/>
          <w:sz w:val="24"/>
          <w:szCs w:val="24"/>
        </w:rPr>
      </w:pPr>
    </w:p>
    <w:p w14:paraId="78565576" w14:textId="632D8397" w:rsidR="006B2447" w:rsidRPr="00285950" w:rsidRDefault="004E36D6" w:rsidP="005C57F0">
      <w:pPr>
        <w:spacing w:after="0" w:line="240" w:lineRule="auto"/>
        <w:rPr>
          <w:rFonts w:ascii="Times New Roman" w:hAnsi="Times New Roman" w:cs="Times New Roman"/>
          <w:sz w:val="24"/>
          <w:szCs w:val="24"/>
        </w:rPr>
      </w:pPr>
      <w:r w:rsidRPr="00285950">
        <w:rPr>
          <w:rFonts w:ascii="Times New Roman" w:hAnsi="Times New Roman" w:cs="Times New Roman"/>
          <w:sz w:val="24"/>
          <w:szCs w:val="24"/>
        </w:rPr>
        <w:t>Wartość bilansowa i godziwa posiadanych papierów wartościowych:</w:t>
      </w:r>
    </w:p>
    <w:tbl>
      <w:tblPr>
        <w:tblStyle w:val="Jasnasiatk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065"/>
        <w:gridCol w:w="2678"/>
      </w:tblGrid>
      <w:tr w:rsidR="00285950" w:rsidRPr="00285950" w14:paraId="46E4AB0A" w14:textId="77777777" w:rsidTr="0057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shd w:val="clear" w:color="auto" w:fill="D9D9D9" w:themeFill="background1" w:themeFillShade="D9"/>
            <w:vAlign w:val="center"/>
          </w:tcPr>
          <w:p w14:paraId="23197A58" w14:textId="77777777" w:rsidR="001B3070" w:rsidRPr="00285950" w:rsidRDefault="001B3070" w:rsidP="00FE4A23">
            <w:pPr>
              <w:tabs>
                <w:tab w:val="left" w:pos="1970"/>
              </w:tabs>
              <w:jc w:val="center"/>
              <w:rPr>
                <w:rFonts w:ascii="Times New Roman" w:hAnsi="Times New Roman" w:cs="Times New Roman"/>
                <w:i/>
                <w:sz w:val="20"/>
                <w:szCs w:val="20"/>
              </w:rPr>
            </w:pPr>
            <w:r w:rsidRPr="00285950">
              <w:rPr>
                <w:rFonts w:ascii="Times New Roman" w:hAnsi="Times New Roman" w:cs="Times New Roman"/>
                <w:i/>
                <w:sz w:val="20"/>
                <w:szCs w:val="20"/>
              </w:rPr>
              <w:t>Rodzaj ekspozycji</w:t>
            </w:r>
          </w:p>
        </w:tc>
        <w:tc>
          <w:tcPr>
            <w:tcW w:w="3068" w:type="dxa"/>
            <w:shd w:val="clear" w:color="auto" w:fill="D9D9D9" w:themeFill="background1" w:themeFillShade="D9"/>
          </w:tcPr>
          <w:p w14:paraId="237739CB" w14:textId="77777777" w:rsidR="001B3070" w:rsidRPr="00285950" w:rsidRDefault="001B3070" w:rsidP="001B30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Wartość bilansowa</w:t>
            </w:r>
          </w:p>
        </w:tc>
        <w:tc>
          <w:tcPr>
            <w:tcW w:w="2681" w:type="dxa"/>
            <w:shd w:val="clear" w:color="auto" w:fill="D9D9D9" w:themeFill="background1" w:themeFillShade="D9"/>
          </w:tcPr>
          <w:p w14:paraId="2FF0E096" w14:textId="77777777" w:rsidR="001B3070" w:rsidRPr="00285950" w:rsidRDefault="001B3070" w:rsidP="001B30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85950">
              <w:rPr>
                <w:rFonts w:ascii="Times New Roman" w:hAnsi="Times New Roman" w:cs="Times New Roman"/>
                <w:i/>
                <w:sz w:val="20"/>
                <w:szCs w:val="20"/>
              </w:rPr>
              <w:t>Wartość godziwa</w:t>
            </w:r>
          </w:p>
        </w:tc>
      </w:tr>
      <w:tr w:rsidR="00285950" w:rsidRPr="00285950" w14:paraId="7CD16955" w14:textId="77777777" w:rsidTr="0057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Borders>
              <w:bottom w:val="single" w:sz="4" w:space="0" w:color="auto"/>
            </w:tcBorders>
            <w:shd w:val="clear" w:color="auto" w:fill="auto"/>
          </w:tcPr>
          <w:p w14:paraId="4D828296" w14:textId="20DFFEBC" w:rsidR="00570DC9" w:rsidRPr="00285950" w:rsidRDefault="00570DC9" w:rsidP="00570DC9">
            <w:pPr>
              <w:jc w:val="both"/>
              <w:rPr>
                <w:rFonts w:ascii="Times New Roman" w:hAnsi="Times New Roman" w:cs="Times New Roman"/>
                <w:b w:val="0"/>
                <w:i/>
                <w:sz w:val="20"/>
                <w:szCs w:val="20"/>
              </w:rPr>
            </w:pPr>
            <w:r w:rsidRPr="00285950">
              <w:rPr>
                <w:rFonts w:ascii="Times New Roman" w:hAnsi="Times New Roman" w:cs="Times New Roman"/>
                <w:b w:val="0"/>
                <w:bCs w:val="0"/>
                <w:iCs/>
                <w:sz w:val="20"/>
                <w:szCs w:val="20"/>
              </w:rPr>
              <w:lastRenderedPageBreak/>
              <w:t>Akcje Banku BPS S.A.</w:t>
            </w:r>
          </w:p>
        </w:tc>
        <w:tc>
          <w:tcPr>
            <w:tcW w:w="3068" w:type="dxa"/>
            <w:shd w:val="clear" w:color="auto" w:fill="auto"/>
          </w:tcPr>
          <w:p w14:paraId="22D89A2C" w14:textId="7C5EFE96"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1 298</w:t>
            </w:r>
          </w:p>
        </w:tc>
        <w:tc>
          <w:tcPr>
            <w:tcW w:w="2681" w:type="dxa"/>
            <w:shd w:val="clear" w:color="auto" w:fill="auto"/>
          </w:tcPr>
          <w:p w14:paraId="6A9F501D" w14:textId="4E7717D3"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1 298</w:t>
            </w:r>
          </w:p>
        </w:tc>
      </w:tr>
      <w:tr w:rsidR="00285950" w:rsidRPr="00285950" w14:paraId="08226ABC" w14:textId="77777777" w:rsidTr="00570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Borders>
              <w:top w:val="single" w:sz="4" w:space="0" w:color="auto"/>
              <w:left w:val="single" w:sz="4" w:space="0" w:color="auto"/>
              <w:bottom w:val="single" w:sz="4" w:space="0" w:color="auto"/>
              <w:right w:val="single" w:sz="4" w:space="0" w:color="auto"/>
            </w:tcBorders>
            <w:shd w:val="clear" w:color="auto" w:fill="auto"/>
          </w:tcPr>
          <w:p w14:paraId="08C2EB4D" w14:textId="4C3C2E9D" w:rsidR="00570DC9" w:rsidRPr="00285950" w:rsidRDefault="00570DC9" w:rsidP="00570DC9">
            <w:pPr>
              <w:jc w:val="both"/>
              <w:rPr>
                <w:rFonts w:ascii="Times New Roman" w:hAnsi="Times New Roman" w:cs="Times New Roman"/>
                <w:b w:val="0"/>
                <w:sz w:val="20"/>
                <w:szCs w:val="20"/>
              </w:rPr>
            </w:pPr>
            <w:r w:rsidRPr="00285950">
              <w:rPr>
                <w:rFonts w:ascii="Times New Roman" w:hAnsi="Times New Roman" w:cs="Times New Roman"/>
                <w:b w:val="0"/>
                <w:bCs w:val="0"/>
                <w:iCs/>
                <w:sz w:val="20"/>
                <w:szCs w:val="20"/>
              </w:rPr>
              <w:t>Akcje Banku SGB S.A.</w:t>
            </w:r>
          </w:p>
        </w:tc>
        <w:tc>
          <w:tcPr>
            <w:tcW w:w="3068" w:type="dxa"/>
            <w:shd w:val="clear" w:color="auto" w:fill="auto"/>
          </w:tcPr>
          <w:p w14:paraId="38C9A18B" w14:textId="49D9CC73" w:rsidR="00570DC9" w:rsidRPr="00285950" w:rsidRDefault="00570DC9" w:rsidP="00570D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5</w:t>
            </w:r>
          </w:p>
        </w:tc>
        <w:tc>
          <w:tcPr>
            <w:tcW w:w="2681" w:type="dxa"/>
            <w:shd w:val="clear" w:color="auto" w:fill="auto"/>
          </w:tcPr>
          <w:p w14:paraId="2A4730A8" w14:textId="4385269A" w:rsidR="00570DC9" w:rsidRPr="00285950" w:rsidRDefault="00570DC9" w:rsidP="00570DC9">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5</w:t>
            </w:r>
          </w:p>
        </w:tc>
      </w:tr>
      <w:tr w:rsidR="00285950" w:rsidRPr="00285950" w14:paraId="23E2CA22" w14:textId="77777777" w:rsidTr="00570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Borders>
              <w:top w:val="single" w:sz="4" w:space="0" w:color="auto"/>
              <w:left w:val="single" w:sz="4" w:space="0" w:color="auto"/>
              <w:bottom w:val="single" w:sz="4" w:space="0" w:color="auto"/>
              <w:right w:val="single" w:sz="4" w:space="0" w:color="auto"/>
            </w:tcBorders>
            <w:shd w:val="clear" w:color="auto" w:fill="auto"/>
          </w:tcPr>
          <w:p w14:paraId="2B656FA3" w14:textId="3BD51F57" w:rsidR="00570DC9" w:rsidRPr="00285950" w:rsidRDefault="00570DC9" w:rsidP="00570DC9">
            <w:pPr>
              <w:jc w:val="both"/>
              <w:rPr>
                <w:rFonts w:ascii="Times New Roman" w:hAnsi="Times New Roman" w:cs="Times New Roman"/>
                <w:b w:val="0"/>
                <w:sz w:val="20"/>
                <w:szCs w:val="20"/>
              </w:rPr>
            </w:pPr>
            <w:r w:rsidRPr="00285950">
              <w:rPr>
                <w:rFonts w:ascii="Times New Roman" w:hAnsi="Times New Roman" w:cs="Times New Roman"/>
                <w:b w:val="0"/>
                <w:bCs w:val="0"/>
                <w:iCs/>
                <w:sz w:val="20"/>
                <w:szCs w:val="20"/>
              </w:rPr>
              <w:t>Udziały SSOZ</w:t>
            </w:r>
          </w:p>
        </w:tc>
        <w:tc>
          <w:tcPr>
            <w:tcW w:w="3068" w:type="dxa"/>
            <w:shd w:val="clear" w:color="auto" w:fill="auto"/>
          </w:tcPr>
          <w:p w14:paraId="6D7882AC" w14:textId="1EF295E2"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5</w:t>
            </w:r>
          </w:p>
        </w:tc>
        <w:tc>
          <w:tcPr>
            <w:tcW w:w="2681" w:type="dxa"/>
            <w:shd w:val="clear" w:color="auto" w:fill="auto"/>
          </w:tcPr>
          <w:p w14:paraId="433A051C" w14:textId="5B6CB785" w:rsidR="00570DC9" w:rsidRPr="00285950" w:rsidRDefault="00570DC9" w:rsidP="00570DC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85950">
              <w:rPr>
                <w:rFonts w:ascii="Times New Roman" w:hAnsi="Times New Roman" w:cs="Times New Roman"/>
                <w:sz w:val="20"/>
                <w:szCs w:val="20"/>
              </w:rPr>
              <w:t>5</w:t>
            </w:r>
          </w:p>
        </w:tc>
      </w:tr>
    </w:tbl>
    <w:p w14:paraId="6710E85B" w14:textId="77777777" w:rsidR="005C57F0" w:rsidRPr="00ED417D" w:rsidRDefault="005C57F0" w:rsidP="005C57F0">
      <w:pPr>
        <w:spacing w:after="0" w:line="240" w:lineRule="auto"/>
        <w:rPr>
          <w:rFonts w:ascii="Times New Roman" w:hAnsi="Times New Roman" w:cs="Times New Roman"/>
          <w:color w:val="FF0000"/>
          <w:sz w:val="24"/>
          <w:szCs w:val="24"/>
        </w:rPr>
      </w:pPr>
    </w:p>
    <w:p w14:paraId="0EAEE69E" w14:textId="46EE3C0B" w:rsidR="006B2447" w:rsidRPr="00285950" w:rsidRDefault="00AA493D" w:rsidP="00E815F7">
      <w:pPr>
        <w:spacing w:after="0" w:line="240" w:lineRule="auto"/>
        <w:rPr>
          <w:rFonts w:ascii="Times New Roman" w:hAnsi="Times New Roman" w:cs="Times New Roman"/>
          <w:sz w:val="24"/>
          <w:szCs w:val="24"/>
        </w:rPr>
      </w:pPr>
      <w:r w:rsidRPr="00285950">
        <w:rPr>
          <w:rFonts w:ascii="Times New Roman" w:hAnsi="Times New Roman" w:cs="Times New Roman"/>
          <w:sz w:val="24"/>
          <w:szCs w:val="24"/>
        </w:rPr>
        <w:t>Kwota zrealizowanych zysków i strat do</w:t>
      </w:r>
      <w:r w:rsidR="00E815F7" w:rsidRPr="00285950">
        <w:rPr>
          <w:rFonts w:ascii="Times New Roman" w:hAnsi="Times New Roman" w:cs="Times New Roman"/>
          <w:sz w:val="24"/>
          <w:szCs w:val="24"/>
        </w:rPr>
        <w:t xml:space="preserve">tycząca ekspozycji kapitałowych wynosi: </w:t>
      </w:r>
      <w:r w:rsidR="00570DC9" w:rsidRPr="00285950">
        <w:rPr>
          <w:rFonts w:ascii="Times New Roman" w:hAnsi="Times New Roman" w:cs="Times New Roman"/>
          <w:sz w:val="24"/>
          <w:szCs w:val="24"/>
        </w:rPr>
        <w:t>---</w:t>
      </w:r>
    </w:p>
    <w:p w14:paraId="66D20307" w14:textId="77777777" w:rsidR="00E815F7" w:rsidRPr="00285950" w:rsidRDefault="00E815F7" w:rsidP="00E815F7">
      <w:pPr>
        <w:spacing w:after="0" w:line="240" w:lineRule="auto"/>
        <w:rPr>
          <w:rFonts w:ascii="Times New Roman" w:hAnsi="Times New Roman" w:cs="Times New Roman"/>
          <w:sz w:val="24"/>
          <w:szCs w:val="24"/>
        </w:rPr>
      </w:pPr>
    </w:p>
    <w:p w14:paraId="0721BF57" w14:textId="61CAFC95" w:rsidR="00AA493D" w:rsidRPr="0057077F" w:rsidRDefault="00AA493D" w:rsidP="00236DB6">
      <w:pPr>
        <w:spacing w:after="0" w:line="240" w:lineRule="auto"/>
        <w:rPr>
          <w:rFonts w:ascii="Times New Roman" w:hAnsi="Times New Roman" w:cs="Times New Roman"/>
          <w:sz w:val="24"/>
          <w:szCs w:val="24"/>
        </w:rPr>
      </w:pPr>
      <w:r w:rsidRPr="0057077F">
        <w:rPr>
          <w:rFonts w:ascii="Times New Roman" w:hAnsi="Times New Roman" w:cs="Times New Roman"/>
          <w:sz w:val="24"/>
          <w:szCs w:val="24"/>
        </w:rPr>
        <w:t>Kwota niezrealizowanych zysków i strat do</w:t>
      </w:r>
      <w:r w:rsidR="00E815F7" w:rsidRPr="0057077F">
        <w:rPr>
          <w:rFonts w:ascii="Times New Roman" w:hAnsi="Times New Roman" w:cs="Times New Roman"/>
          <w:sz w:val="24"/>
          <w:szCs w:val="24"/>
        </w:rPr>
        <w:t>tycząca ekspozycji kapitałowych wynosi</w:t>
      </w:r>
      <w:r w:rsidR="00570DC9" w:rsidRPr="0057077F">
        <w:rPr>
          <w:rFonts w:ascii="Times New Roman" w:hAnsi="Times New Roman" w:cs="Times New Roman"/>
          <w:sz w:val="24"/>
          <w:szCs w:val="24"/>
        </w:rPr>
        <w:t>: ---</w:t>
      </w:r>
    </w:p>
    <w:p w14:paraId="3C4AA195" w14:textId="77777777" w:rsidR="00570DC9" w:rsidRPr="0057077F" w:rsidRDefault="00570DC9" w:rsidP="00236DB6">
      <w:pPr>
        <w:spacing w:after="0" w:line="240" w:lineRule="auto"/>
        <w:rPr>
          <w:rFonts w:ascii="Times New Roman" w:hAnsi="Times New Roman" w:cs="Times New Roman"/>
          <w:sz w:val="24"/>
          <w:szCs w:val="24"/>
        </w:rPr>
      </w:pPr>
    </w:p>
    <w:p w14:paraId="34B62C85" w14:textId="77777777" w:rsidR="00AA493D" w:rsidRPr="0057077F" w:rsidRDefault="00FB3824"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57077F">
        <w:rPr>
          <w:rFonts w:ascii="Century" w:hAnsi="Century" w:cs="Times New Roman"/>
          <w:b/>
          <w:sz w:val="24"/>
          <w:szCs w:val="24"/>
        </w:rPr>
        <w:t xml:space="preserve">Ryzyko stopy procentowej w portfelu </w:t>
      </w:r>
      <w:r w:rsidR="00C14331" w:rsidRPr="0057077F">
        <w:rPr>
          <w:rFonts w:ascii="Century" w:hAnsi="Century" w:cs="Times New Roman"/>
          <w:b/>
          <w:sz w:val="24"/>
          <w:szCs w:val="24"/>
        </w:rPr>
        <w:t>banko</w:t>
      </w:r>
      <w:r w:rsidRPr="0057077F">
        <w:rPr>
          <w:rFonts w:ascii="Century" w:hAnsi="Century" w:cs="Times New Roman"/>
          <w:b/>
          <w:sz w:val="24"/>
          <w:szCs w:val="24"/>
        </w:rPr>
        <w:t>wym</w:t>
      </w:r>
    </w:p>
    <w:p w14:paraId="4BD6C1D5" w14:textId="77777777" w:rsidR="00FB3824" w:rsidRPr="00ED417D" w:rsidRDefault="00FB3824" w:rsidP="00236DB6">
      <w:pPr>
        <w:spacing w:after="0" w:line="240" w:lineRule="auto"/>
        <w:jc w:val="center"/>
        <w:rPr>
          <w:rFonts w:ascii="Times New Roman" w:hAnsi="Times New Roman" w:cs="Times New Roman"/>
          <w:color w:val="FF0000"/>
          <w:sz w:val="24"/>
          <w:szCs w:val="24"/>
        </w:rPr>
      </w:pPr>
    </w:p>
    <w:p w14:paraId="08D6E837" w14:textId="77777777" w:rsidR="00A4622B" w:rsidRPr="00285950" w:rsidRDefault="00A4622B" w:rsidP="00A4622B">
      <w:pPr>
        <w:spacing w:after="0" w:line="240" w:lineRule="auto"/>
        <w:jc w:val="both"/>
        <w:rPr>
          <w:rFonts w:ascii="Times New Roman" w:hAnsi="Times New Roman" w:cs="Times New Roman"/>
          <w:sz w:val="24"/>
          <w:szCs w:val="24"/>
        </w:rPr>
      </w:pPr>
      <w:r w:rsidRPr="00285950">
        <w:rPr>
          <w:rFonts w:ascii="Times New Roman" w:hAnsi="Times New Roman" w:cs="Times New Roman"/>
          <w:sz w:val="24"/>
          <w:szCs w:val="24"/>
        </w:rPr>
        <w:t xml:space="preserve">Ryzyko stopy procentowej w Banku wynika </w:t>
      </w:r>
      <w:r w:rsidR="00253322" w:rsidRPr="00285950">
        <w:rPr>
          <w:rFonts w:ascii="Times New Roman" w:hAnsi="Times New Roman" w:cs="Times New Roman"/>
          <w:sz w:val="24"/>
          <w:szCs w:val="24"/>
        </w:rPr>
        <w:t xml:space="preserve">głównie z niedopasowania terminów przeszacowania aktywów i pasywów wrażliwych na zmiany stóp procentowych oraz niedopasowania tych pozycji ze względu na </w:t>
      </w:r>
      <w:r w:rsidR="00460D49" w:rsidRPr="00285950">
        <w:rPr>
          <w:rFonts w:ascii="Times New Roman" w:hAnsi="Times New Roman" w:cs="Times New Roman"/>
          <w:sz w:val="24"/>
          <w:szCs w:val="24"/>
        </w:rPr>
        <w:t xml:space="preserve">stawki </w:t>
      </w:r>
      <w:r w:rsidR="00253322" w:rsidRPr="00285950">
        <w:rPr>
          <w:rFonts w:ascii="Times New Roman" w:hAnsi="Times New Roman" w:cs="Times New Roman"/>
          <w:sz w:val="24"/>
          <w:szCs w:val="24"/>
        </w:rPr>
        <w:t>referencyjne.</w:t>
      </w:r>
    </w:p>
    <w:p w14:paraId="379745AC" w14:textId="77777777" w:rsidR="00253322" w:rsidRPr="00ED417D" w:rsidRDefault="00253322" w:rsidP="00A4622B">
      <w:pPr>
        <w:spacing w:after="0" w:line="240" w:lineRule="auto"/>
        <w:jc w:val="both"/>
        <w:rPr>
          <w:rFonts w:ascii="Times New Roman" w:hAnsi="Times New Roman" w:cs="Times New Roman"/>
          <w:color w:val="FF0000"/>
          <w:sz w:val="24"/>
          <w:szCs w:val="24"/>
        </w:rPr>
      </w:pPr>
    </w:p>
    <w:p w14:paraId="0FD19ABD" w14:textId="4D021FC8" w:rsidR="00D92394" w:rsidRDefault="00253322" w:rsidP="00A4622B">
      <w:pPr>
        <w:spacing w:after="0" w:line="240" w:lineRule="auto"/>
        <w:jc w:val="both"/>
        <w:rPr>
          <w:rFonts w:ascii="Times New Roman" w:hAnsi="Times New Roman" w:cs="Times New Roman"/>
          <w:sz w:val="24"/>
          <w:szCs w:val="24"/>
        </w:rPr>
      </w:pPr>
      <w:r w:rsidRPr="00EE13DA">
        <w:rPr>
          <w:rFonts w:ascii="Times New Roman" w:hAnsi="Times New Roman" w:cs="Times New Roman"/>
          <w:sz w:val="24"/>
          <w:szCs w:val="24"/>
        </w:rPr>
        <w:t>W Banku</w:t>
      </w:r>
      <w:r w:rsidR="00D92394" w:rsidRPr="00EE13DA">
        <w:rPr>
          <w:rFonts w:ascii="Times New Roman" w:hAnsi="Times New Roman" w:cs="Times New Roman"/>
          <w:sz w:val="24"/>
          <w:szCs w:val="24"/>
        </w:rPr>
        <w:t xml:space="preserve"> występuje luka między aktywami i pasywami wrażliwymi na ryzyko stopy procentowej o wartości plus 6 735 tys. zł, co stanowi 5,34% sumy bilansowej wynoszącej na koniec roku 126 110 tys. zł.</w:t>
      </w:r>
    </w:p>
    <w:p w14:paraId="658A2142" w14:textId="77777777" w:rsidR="003C6709" w:rsidRPr="00EE13DA" w:rsidRDefault="003C6709" w:rsidP="00A4622B">
      <w:pPr>
        <w:spacing w:after="0" w:line="240" w:lineRule="auto"/>
        <w:jc w:val="both"/>
        <w:rPr>
          <w:rFonts w:ascii="Times New Roman" w:hAnsi="Times New Roman" w:cs="Times New Roman"/>
          <w:sz w:val="24"/>
          <w:szCs w:val="24"/>
        </w:rPr>
      </w:pPr>
    </w:p>
    <w:p w14:paraId="328254F6" w14:textId="10F1CF32" w:rsidR="003C6709" w:rsidRPr="003C6709" w:rsidRDefault="003C6709" w:rsidP="003C6709">
      <w:pPr>
        <w:spacing w:after="0" w:line="240" w:lineRule="auto"/>
        <w:jc w:val="both"/>
        <w:rPr>
          <w:rFonts w:ascii="Times New Roman" w:hAnsi="Times New Roman" w:cs="Times New Roman"/>
          <w:sz w:val="24"/>
          <w:szCs w:val="24"/>
        </w:rPr>
      </w:pPr>
      <w:r w:rsidRPr="003C6709">
        <w:rPr>
          <w:rFonts w:ascii="Times New Roman" w:hAnsi="Times New Roman" w:cs="Times New Roman"/>
          <w:sz w:val="24"/>
          <w:szCs w:val="24"/>
        </w:rPr>
        <w:t>Spadek stóp procentowych o 0,25 pp. w skali 12 m-cy może zmniejszyć wynik odsetkowy Banku o 145,12  tys. zł., tj. 5,16% wyniku z odsetek z 2020r.</w:t>
      </w:r>
    </w:p>
    <w:p w14:paraId="408690FC" w14:textId="77777777" w:rsidR="00D92394" w:rsidRPr="003C6709" w:rsidRDefault="00D92394" w:rsidP="00A4622B">
      <w:pPr>
        <w:spacing w:after="0" w:line="240" w:lineRule="auto"/>
        <w:jc w:val="both"/>
        <w:rPr>
          <w:rFonts w:ascii="Times New Roman" w:hAnsi="Times New Roman" w:cs="Times New Roman"/>
          <w:sz w:val="24"/>
          <w:szCs w:val="24"/>
        </w:rPr>
      </w:pPr>
    </w:p>
    <w:p w14:paraId="020AD3F1" w14:textId="765A4E96" w:rsidR="000A068A" w:rsidRPr="003C6709" w:rsidRDefault="000A068A" w:rsidP="00A4622B">
      <w:pPr>
        <w:spacing w:after="0" w:line="240" w:lineRule="auto"/>
        <w:jc w:val="both"/>
        <w:rPr>
          <w:rFonts w:ascii="Times New Roman" w:hAnsi="Times New Roman" w:cs="Times New Roman"/>
          <w:sz w:val="24"/>
          <w:szCs w:val="24"/>
        </w:rPr>
      </w:pPr>
      <w:bookmarkStart w:id="4" w:name="_Hlk74905925"/>
      <w:r w:rsidRPr="003C6709">
        <w:rPr>
          <w:rFonts w:ascii="Times New Roman" w:hAnsi="Times New Roman" w:cs="Times New Roman"/>
          <w:sz w:val="24"/>
          <w:szCs w:val="24"/>
        </w:rPr>
        <w:t xml:space="preserve">Spadek stóp procentowych o </w:t>
      </w:r>
      <w:r w:rsidR="003C6709" w:rsidRPr="003C6709">
        <w:rPr>
          <w:rFonts w:ascii="Times New Roman" w:hAnsi="Times New Roman" w:cs="Times New Roman"/>
          <w:sz w:val="24"/>
          <w:szCs w:val="24"/>
        </w:rPr>
        <w:t>1,00 pp.</w:t>
      </w:r>
      <w:r w:rsidRPr="003C6709">
        <w:rPr>
          <w:rFonts w:ascii="Times New Roman" w:hAnsi="Times New Roman" w:cs="Times New Roman"/>
          <w:sz w:val="24"/>
          <w:szCs w:val="24"/>
        </w:rPr>
        <w:t xml:space="preserve"> </w:t>
      </w:r>
      <w:r w:rsidR="003C6709" w:rsidRPr="003C6709">
        <w:rPr>
          <w:rFonts w:ascii="Times New Roman" w:hAnsi="Times New Roman" w:cs="Times New Roman"/>
          <w:sz w:val="24"/>
          <w:szCs w:val="24"/>
        </w:rPr>
        <w:t>w skali 12 m-cy może zmniejszyć</w:t>
      </w:r>
      <w:r w:rsidRPr="003C6709">
        <w:rPr>
          <w:rFonts w:ascii="Times New Roman" w:hAnsi="Times New Roman" w:cs="Times New Roman"/>
          <w:sz w:val="24"/>
          <w:szCs w:val="24"/>
        </w:rPr>
        <w:t xml:space="preserve"> wynik odsetkowy Banku o</w:t>
      </w:r>
      <w:r w:rsidR="003C6709" w:rsidRPr="003C6709">
        <w:rPr>
          <w:rFonts w:ascii="Times New Roman" w:hAnsi="Times New Roman" w:cs="Times New Roman"/>
          <w:sz w:val="24"/>
          <w:szCs w:val="24"/>
        </w:rPr>
        <w:t xml:space="preserve"> 734,49</w:t>
      </w:r>
      <w:r w:rsidR="00D229F4" w:rsidRPr="003C6709">
        <w:rPr>
          <w:rFonts w:ascii="Times New Roman" w:hAnsi="Times New Roman" w:cs="Times New Roman"/>
          <w:sz w:val="24"/>
          <w:szCs w:val="24"/>
        </w:rPr>
        <w:t xml:space="preserve"> </w:t>
      </w:r>
      <w:r w:rsidRPr="003C6709">
        <w:rPr>
          <w:rFonts w:ascii="Times New Roman" w:hAnsi="Times New Roman" w:cs="Times New Roman"/>
          <w:sz w:val="24"/>
          <w:szCs w:val="24"/>
        </w:rPr>
        <w:t xml:space="preserve"> tys.</w:t>
      </w:r>
      <w:r w:rsidR="009E53AF" w:rsidRPr="003C6709">
        <w:rPr>
          <w:rFonts w:ascii="Times New Roman" w:hAnsi="Times New Roman" w:cs="Times New Roman"/>
          <w:sz w:val="24"/>
          <w:szCs w:val="24"/>
        </w:rPr>
        <w:t xml:space="preserve"> </w:t>
      </w:r>
      <w:r w:rsidRPr="003C6709">
        <w:rPr>
          <w:rFonts w:ascii="Times New Roman" w:hAnsi="Times New Roman" w:cs="Times New Roman"/>
          <w:sz w:val="24"/>
          <w:szCs w:val="24"/>
        </w:rPr>
        <w:t>zł.</w:t>
      </w:r>
      <w:r w:rsidR="003C6709" w:rsidRPr="003C6709">
        <w:rPr>
          <w:rFonts w:ascii="Times New Roman" w:hAnsi="Times New Roman" w:cs="Times New Roman"/>
          <w:sz w:val="24"/>
          <w:szCs w:val="24"/>
        </w:rPr>
        <w:t>, tj. 26,11% wyniku z odsetek z 2020r.</w:t>
      </w:r>
    </w:p>
    <w:bookmarkEnd w:id="4"/>
    <w:p w14:paraId="74716B70" w14:textId="77777777" w:rsidR="000A068A" w:rsidRPr="003C6709" w:rsidRDefault="000A068A" w:rsidP="00A4622B">
      <w:pPr>
        <w:spacing w:after="0" w:line="240" w:lineRule="auto"/>
        <w:jc w:val="both"/>
        <w:rPr>
          <w:rFonts w:ascii="Times New Roman" w:hAnsi="Times New Roman" w:cs="Times New Roman"/>
          <w:sz w:val="24"/>
          <w:szCs w:val="24"/>
        </w:rPr>
      </w:pPr>
    </w:p>
    <w:p w14:paraId="3E338BF2" w14:textId="67DD4401" w:rsidR="00470FA6" w:rsidRPr="003C6709" w:rsidRDefault="00570DC9" w:rsidP="00253322">
      <w:pPr>
        <w:spacing w:after="0" w:line="240" w:lineRule="auto"/>
        <w:jc w:val="both"/>
        <w:rPr>
          <w:rFonts w:ascii="Times New Roman" w:hAnsi="Times New Roman" w:cs="Times New Roman"/>
          <w:sz w:val="24"/>
          <w:szCs w:val="24"/>
        </w:rPr>
      </w:pPr>
      <w:r w:rsidRPr="003C6709">
        <w:rPr>
          <w:rFonts w:ascii="Times New Roman" w:hAnsi="Times New Roman" w:cs="Times New Roman"/>
          <w:sz w:val="24"/>
          <w:szCs w:val="24"/>
        </w:rPr>
        <w:t>Spadek</w:t>
      </w:r>
      <w:r w:rsidR="000A068A" w:rsidRPr="003C6709">
        <w:rPr>
          <w:rFonts w:ascii="Times New Roman" w:hAnsi="Times New Roman" w:cs="Times New Roman"/>
          <w:sz w:val="24"/>
          <w:szCs w:val="24"/>
        </w:rPr>
        <w:t xml:space="preserve"> stóp procentowych o 200 punktów bazowych zmienia wartość</w:t>
      </w:r>
      <w:r w:rsidR="00470FA6" w:rsidRPr="003C6709">
        <w:rPr>
          <w:rFonts w:ascii="Times New Roman" w:hAnsi="Times New Roman" w:cs="Times New Roman"/>
          <w:sz w:val="24"/>
          <w:szCs w:val="24"/>
        </w:rPr>
        <w:t xml:space="preserve"> </w:t>
      </w:r>
      <w:r w:rsidRPr="003C6709">
        <w:rPr>
          <w:rFonts w:ascii="Times New Roman" w:hAnsi="Times New Roman" w:cs="Times New Roman"/>
          <w:sz w:val="24"/>
          <w:szCs w:val="24"/>
        </w:rPr>
        <w:t xml:space="preserve">ekonomiczną </w:t>
      </w:r>
      <w:r w:rsidR="00470FA6" w:rsidRPr="003C6709">
        <w:rPr>
          <w:rFonts w:ascii="Times New Roman" w:hAnsi="Times New Roman" w:cs="Times New Roman"/>
          <w:sz w:val="24"/>
          <w:szCs w:val="24"/>
        </w:rPr>
        <w:t>kapitału</w:t>
      </w:r>
      <w:r w:rsidR="000A068A" w:rsidRPr="003C6709">
        <w:rPr>
          <w:rFonts w:ascii="Times New Roman" w:hAnsi="Times New Roman" w:cs="Times New Roman"/>
          <w:sz w:val="24"/>
          <w:szCs w:val="24"/>
        </w:rPr>
        <w:t xml:space="preserve"> o </w:t>
      </w:r>
      <w:r w:rsidRPr="003C6709">
        <w:rPr>
          <w:rFonts w:ascii="Times New Roman" w:hAnsi="Times New Roman" w:cs="Times New Roman"/>
          <w:sz w:val="24"/>
          <w:szCs w:val="24"/>
        </w:rPr>
        <w:t xml:space="preserve">minus </w:t>
      </w:r>
      <w:r w:rsidR="003C6709" w:rsidRPr="003C6709">
        <w:rPr>
          <w:rFonts w:ascii="Times New Roman" w:hAnsi="Times New Roman" w:cs="Times New Roman"/>
          <w:sz w:val="24"/>
          <w:szCs w:val="24"/>
        </w:rPr>
        <w:t>189,85</w:t>
      </w:r>
      <w:r w:rsidRPr="003C6709">
        <w:rPr>
          <w:rFonts w:ascii="Times New Roman" w:hAnsi="Times New Roman" w:cs="Times New Roman"/>
          <w:sz w:val="24"/>
          <w:szCs w:val="24"/>
        </w:rPr>
        <w:t xml:space="preserve"> </w:t>
      </w:r>
      <w:r w:rsidR="000A068A" w:rsidRPr="003C6709">
        <w:rPr>
          <w:rFonts w:ascii="Times New Roman" w:hAnsi="Times New Roman" w:cs="Times New Roman"/>
          <w:sz w:val="24"/>
          <w:szCs w:val="24"/>
        </w:rPr>
        <w:t>tys.</w:t>
      </w:r>
      <w:r w:rsidRPr="003C6709">
        <w:rPr>
          <w:rFonts w:ascii="Times New Roman" w:hAnsi="Times New Roman" w:cs="Times New Roman"/>
          <w:sz w:val="24"/>
          <w:szCs w:val="24"/>
        </w:rPr>
        <w:t xml:space="preserve"> </w:t>
      </w:r>
      <w:r w:rsidR="000A068A" w:rsidRPr="003C6709">
        <w:rPr>
          <w:rFonts w:ascii="Times New Roman" w:hAnsi="Times New Roman" w:cs="Times New Roman"/>
          <w:sz w:val="24"/>
          <w:szCs w:val="24"/>
        </w:rPr>
        <w:t>zł</w:t>
      </w:r>
      <w:r w:rsidRPr="003C6709">
        <w:rPr>
          <w:rFonts w:ascii="Times New Roman" w:hAnsi="Times New Roman" w:cs="Times New Roman"/>
          <w:sz w:val="24"/>
          <w:szCs w:val="24"/>
        </w:rPr>
        <w:t>, co oznacza zmianę kapitału ekonomicznego poniżej 20% sumy kapitału Tier 1 i Tier 2.</w:t>
      </w:r>
    </w:p>
    <w:p w14:paraId="5A8C8ED1" w14:textId="77777777" w:rsidR="00470FA6" w:rsidRPr="003C6709" w:rsidRDefault="00470FA6" w:rsidP="00236DB6">
      <w:pPr>
        <w:spacing w:after="0" w:line="240" w:lineRule="auto"/>
        <w:jc w:val="both"/>
        <w:rPr>
          <w:rFonts w:ascii="Times New Roman" w:hAnsi="Times New Roman" w:cs="Times New Roman"/>
          <w:sz w:val="24"/>
          <w:szCs w:val="24"/>
        </w:rPr>
      </w:pPr>
    </w:p>
    <w:p w14:paraId="5D4FC1D7" w14:textId="77777777" w:rsidR="00470FA6" w:rsidRPr="003C6709" w:rsidRDefault="00470FA6"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3C6709">
        <w:rPr>
          <w:rFonts w:ascii="Century" w:hAnsi="Century" w:cs="Times New Roman"/>
          <w:b/>
          <w:sz w:val="24"/>
          <w:szCs w:val="24"/>
        </w:rPr>
        <w:t xml:space="preserve">Polityka </w:t>
      </w:r>
      <w:r w:rsidR="00C14331" w:rsidRPr="003C6709">
        <w:rPr>
          <w:rFonts w:ascii="Century" w:hAnsi="Century" w:cs="Times New Roman"/>
          <w:b/>
          <w:sz w:val="24"/>
          <w:szCs w:val="24"/>
        </w:rPr>
        <w:t>wynagra</w:t>
      </w:r>
      <w:r w:rsidRPr="003C6709">
        <w:rPr>
          <w:rFonts w:ascii="Century" w:hAnsi="Century" w:cs="Times New Roman"/>
          <w:b/>
          <w:sz w:val="24"/>
          <w:szCs w:val="24"/>
        </w:rPr>
        <w:t>dz</w:t>
      </w:r>
      <w:r w:rsidR="00C14331" w:rsidRPr="003C6709">
        <w:rPr>
          <w:rFonts w:ascii="Century" w:hAnsi="Century" w:cs="Times New Roman"/>
          <w:b/>
          <w:sz w:val="24"/>
          <w:szCs w:val="24"/>
        </w:rPr>
        <w:t>ania</w:t>
      </w:r>
    </w:p>
    <w:p w14:paraId="57CC2DBF" w14:textId="77777777" w:rsidR="00470FA6" w:rsidRPr="003C6709" w:rsidRDefault="00470FA6" w:rsidP="00E60055">
      <w:pPr>
        <w:spacing w:after="0" w:line="240" w:lineRule="auto"/>
        <w:rPr>
          <w:rFonts w:ascii="Times New Roman" w:hAnsi="Times New Roman" w:cs="Times New Roman"/>
          <w:sz w:val="24"/>
          <w:szCs w:val="24"/>
        </w:rPr>
      </w:pPr>
    </w:p>
    <w:p w14:paraId="4F03CDA8" w14:textId="77777777" w:rsidR="004A1EAD" w:rsidRPr="003C6709" w:rsidRDefault="00C14331" w:rsidP="00C14331">
      <w:pPr>
        <w:spacing w:after="0" w:line="240" w:lineRule="auto"/>
        <w:jc w:val="both"/>
        <w:rPr>
          <w:rFonts w:ascii="Times New Roman" w:hAnsi="Times New Roman" w:cs="Times New Roman"/>
          <w:sz w:val="24"/>
          <w:szCs w:val="24"/>
        </w:rPr>
      </w:pPr>
      <w:r w:rsidRPr="003C6709">
        <w:rPr>
          <w:rFonts w:ascii="Times New Roman" w:hAnsi="Times New Roman" w:cs="Times New Roman"/>
          <w:sz w:val="24"/>
          <w:szCs w:val="24"/>
        </w:rPr>
        <w:t>Polityka wynagradzania osób, których działalność zawodowa ma istotny wpływ na ryzyko Banku stanowi załącznik do niniejszej Informacji.</w:t>
      </w:r>
    </w:p>
    <w:p w14:paraId="5FF574A1" w14:textId="77777777" w:rsidR="008171A8" w:rsidRPr="003C6709" w:rsidRDefault="008171A8" w:rsidP="00236DB6">
      <w:pPr>
        <w:spacing w:after="0" w:line="240" w:lineRule="auto"/>
        <w:jc w:val="both"/>
        <w:rPr>
          <w:rFonts w:ascii="Times New Roman" w:hAnsi="Times New Roman" w:cs="Times New Roman"/>
          <w:sz w:val="24"/>
          <w:szCs w:val="24"/>
        </w:rPr>
      </w:pPr>
    </w:p>
    <w:p w14:paraId="66883315" w14:textId="77777777" w:rsidR="008171A8" w:rsidRPr="003C6709" w:rsidRDefault="008171A8"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3C6709">
        <w:rPr>
          <w:rFonts w:ascii="Century" w:hAnsi="Century" w:cs="Times New Roman"/>
          <w:b/>
          <w:sz w:val="24"/>
          <w:szCs w:val="24"/>
        </w:rPr>
        <w:t>Ryzyko płynności</w:t>
      </w:r>
    </w:p>
    <w:p w14:paraId="121C8A5E" w14:textId="77777777" w:rsidR="008171A8" w:rsidRPr="003C6709" w:rsidRDefault="008171A8" w:rsidP="00FE4A23">
      <w:pPr>
        <w:spacing w:after="0" w:line="240" w:lineRule="auto"/>
        <w:jc w:val="both"/>
        <w:rPr>
          <w:rFonts w:ascii="Times New Roman" w:hAnsi="Times New Roman" w:cs="Times New Roman"/>
          <w:sz w:val="24"/>
          <w:szCs w:val="24"/>
        </w:rPr>
      </w:pPr>
    </w:p>
    <w:p w14:paraId="6BF4F48A" w14:textId="77777777" w:rsidR="00176814" w:rsidRPr="00E81523" w:rsidRDefault="00176814" w:rsidP="00176814">
      <w:pPr>
        <w:spacing w:after="0" w:line="240" w:lineRule="auto"/>
        <w:jc w:val="both"/>
        <w:rPr>
          <w:rFonts w:ascii="Times New Roman" w:hAnsi="Times New Roman" w:cs="Times New Roman"/>
          <w:sz w:val="24"/>
          <w:szCs w:val="24"/>
        </w:rPr>
      </w:pPr>
      <w:r w:rsidRPr="00E81523">
        <w:rPr>
          <w:rFonts w:ascii="Times New Roman" w:hAnsi="Times New Roman" w:cs="Times New Roman"/>
          <w:sz w:val="24"/>
          <w:szCs w:val="24"/>
        </w:rPr>
        <w:t>Zarządzanie ryzykiem płynności zostało podzielone na dwa poziomy:</w:t>
      </w:r>
    </w:p>
    <w:p w14:paraId="2F563B69" w14:textId="77777777" w:rsidR="00176814" w:rsidRPr="00E81523" w:rsidRDefault="00176814" w:rsidP="000C62C3">
      <w:pPr>
        <w:pStyle w:val="Akapitzlist"/>
        <w:numPr>
          <w:ilvl w:val="0"/>
          <w:numId w:val="15"/>
        </w:numPr>
        <w:spacing w:after="0" w:line="240" w:lineRule="auto"/>
        <w:jc w:val="both"/>
        <w:rPr>
          <w:rFonts w:ascii="Times New Roman" w:hAnsi="Times New Roman" w:cs="Times New Roman"/>
          <w:sz w:val="24"/>
          <w:szCs w:val="24"/>
        </w:rPr>
      </w:pPr>
      <w:r w:rsidRPr="00E81523">
        <w:rPr>
          <w:rFonts w:ascii="Times New Roman" w:hAnsi="Times New Roman" w:cs="Times New Roman"/>
          <w:sz w:val="24"/>
          <w:szCs w:val="24"/>
        </w:rPr>
        <w:t>zarządzania ryzykiem w działalności operacyjnej, w ramach którego:</w:t>
      </w:r>
    </w:p>
    <w:p w14:paraId="1A31E691" w14:textId="77777777" w:rsidR="00176814" w:rsidRPr="00E81523" w:rsidRDefault="00176814" w:rsidP="000C62C3">
      <w:pPr>
        <w:pStyle w:val="Akapitzlist"/>
        <w:numPr>
          <w:ilvl w:val="0"/>
          <w:numId w:val="16"/>
        </w:numPr>
        <w:spacing w:after="0" w:line="240" w:lineRule="auto"/>
        <w:ind w:left="993" w:hanging="284"/>
        <w:jc w:val="both"/>
        <w:rPr>
          <w:rFonts w:ascii="Times New Roman" w:hAnsi="Times New Roman" w:cs="Times New Roman"/>
          <w:sz w:val="24"/>
          <w:szCs w:val="24"/>
        </w:rPr>
      </w:pPr>
      <w:r w:rsidRPr="00E81523">
        <w:rPr>
          <w:rFonts w:ascii="Times New Roman" w:eastAsia="Times New Roman" w:hAnsi="Times New Roman" w:cs="Times New Roman"/>
          <w:i/>
          <w:sz w:val="24"/>
          <w:szCs w:val="24"/>
          <w:lang w:eastAsia="pl-PL"/>
        </w:rPr>
        <w:t>komórka zarządzania „wolnymi środkami”</w:t>
      </w:r>
      <w:r w:rsidRPr="00E81523">
        <w:rPr>
          <w:rFonts w:ascii="Times New Roman" w:hAnsi="Times New Roman" w:cs="Times New Roman"/>
          <w:sz w:val="24"/>
          <w:szCs w:val="24"/>
        </w:rPr>
        <w:t xml:space="preserve"> odpowiada za zarządzanie płynnością krótkoterminową</w:t>
      </w:r>
    </w:p>
    <w:p w14:paraId="0766FDBB" w14:textId="7EDA5266" w:rsidR="00176814" w:rsidRPr="00E81523" w:rsidRDefault="009A4A83" w:rsidP="000C62C3">
      <w:pPr>
        <w:pStyle w:val="Akapitzlist"/>
        <w:numPr>
          <w:ilvl w:val="0"/>
          <w:numId w:val="16"/>
        </w:numPr>
        <w:spacing w:after="0" w:line="240" w:lineRule="auto"/>
        <w:ind w:left="993" w:hanging="284"/>
        <w:jc w:val="both"/>
        <w:rPr>
          <w:rFonts w:ascii="Times New Roman" w:hAnsi="Times New Roman" w:cs="Times New Roman"/>
          <w:sz w:val="24"/>
          <w:szCs w:val="24"/>
        </w:rPr>
      </w:pPr>
      <w:r w:rsidRPr="00E81523">
        <w:rPr>
          <w:rFonts w:ascii="Times New Roman" w:hAnsi="Times New Roman" w:cs="Times New Roman"/>
          <w:sz w:val="24"/>
          <w:szCs w:val="24"/>
        </w:rPr>
        <w:t>Zespoły Banku (ZFK i ZDRiK)</w:t>
      </w:r>
      <w:r w:rsidR="00176814" w:rsidRPr="00E81523">
        <w:rPr>
          <w:rFonts w:ascii="Times New Roman" w:hAnsi="Times New Roman" w:cs="Times New Roman"/>
          <w:sz w:val="24"/>
          <w:szCs w:val="24"/>
        </w:rPr>
        <w:t xml:space="preserve"> odpowiadają za gromadzenie depozytów i udzielania kredytów</w:t>
      </w:r>
    </w:p>
    <w:p w14:paraId="15209320" w14:textId="77777777" w:rsidR="00176814" w:rsidRPr="00E81523" w:rsidRDefault="00176814" w:rsidP="000C62C3">
      <w:pPr>
        <w:pStyle w:val="Akapitzlist"/>
        <w:numPr>
          <w:ilvl w:val="0"/>
          <w:numId w:val="15"/>
        </w:numPr>
        <w:spacing w:after="0" w:line="240" w:lineRule="auto"/>
        <w:jc w:val="both"/>
        <w:rPr>
          <w:rFonts w:ascii="Times New Roman" w:hAnsi="Times New Roman" w:cs="Times New Roman"/>
          <w:sz w:val="24"/>
          <w:szCs w:val="24"/>
        </w:rPr>
      </w:pPr>
      <w:r w:rsidRPr="00E81523">
        <w:rPr>
          <w:rFonts w:ascii="Times New Roman" w:hAnsi="Times New Roman" w:cs="Times New Roman"/>
          <w:sz w:val="24"/>
          <w:szCs w:val="24"/>
        </w:rPr>
        <w:t xml:space="preserve">za zarządzanie ryzykiem, w ramach którego </w:t>
      </w:r>
      <w:r w:rsidRPr="00E81523">
        <w:rPr>
          <w:rFonts w:ascii="Times New Roman" w:eastAsia="Times New Roman" w:hAnsi="Times New Roman" w:cs="Times New Roman"/>
          <w:i/>
          <w:sz w:val="24"/>
          <w:szCs w:val="24"/>
          <w:lang w:eastAsia="pl-PL"/>
        </w:rPr>
        <w:t>komórka monitorowania ryzyka</w:t>
      </w:r>
      <w:r w:rsidRPr="00E81523">
        <w:rPr>
          <w:rFonts w:ascii="Times New Roman" w:hAnsi="Times New Roman" w:cs="Times New Roman"/>
          <w:sz w:val="24"/>
          <w:szCs w:val="24"/>
        </w:rPr>
        <w:t xml:space="preserve"> odpowiada za identyfikację, pomiar, kontrolę i sprawozdawanie.</w:t>
      </w:r>
    </w:p>
    <w:p w14:paraId="1DB90234" w14:textId="77777777" w:rsidR="004F34EB" w:rsidRPr="00E81523" w:rsidRDefault="004F34EB" w:rsidP="00A6163B">
      <w:pPr>
        <w:pStyle w:val="Akapitzlist"/>
        <w:spacing w:after="0" w:line="240" w:lineRule="auto"/>
        <w:ind w:left="0"/>
        <w:jc w:val="both"/>
        <w:rPr>
          <w:rFonts w:ascii="Times New Roman" w:hAnsi="Times New Roman" w:cs="Times New Roman"/>
          <w:sz w:val="24"/>
          <w:szCs w:val="24"/>
        </w:rPr>
      </w:pPr>
    </w:p>
    <w:p w14:paraId="5D96349E" w14:textId="7B387A5A" w:rsidR="004F34EB" w:rsidRPr="00E81523" w:rsidRDefault="004F34EB" w:rsidP="004F34EB">
      <w:pPr>
        <w:pStyle w:val="Tekstpodstawowy"/>
        <w:tabs>
          <w:tab w:val="left" w:pos="0"/>
        </w:tabs>
        <w:jc w:val="both"/>
        <w:rPr>
          <w:sz w:val="24"/>
        </w:rPr>
      </w:pPr>
      <w:r w:rsidRPr="00E81523">
        <w:rPr>
          <w:sz w:val="24"/>
        </w:rPr>
        <w:t xml:space="preserve">Głównym źródłem finansowania działalności Banku są depozyty podmiotów niefinansowych, ich łączna kwota powinna stanowić co najmniej </w:t>
      </w:r>
      <w:r w:rsidR="00AA1DBC" w:rsidRPr="00E81523">
        <w:rPr>
          <w:sz w:val="24"/>
        </w:rPr>
        <w:t>80</w:t>
      </w:r>
      <w:r w:rsidRPr="00E81523">
        <w:rPr>
          <w:sz w:val="24"/>
        </w:rPr>
        <w:t>% pasywów ogółem. Bank posiada i aktualizuje w okresach rocznych plan pozyskiwania i utrzymywania depozytów.</w:t>
      </w:r>
    </w:p>
    <w:p w14:paraId="666D8649" w14:textId="77777777" w:rsidR="004F34EB" w:rsidRPr="00E81523" w:rsidRDefault="004F34EB" w:rsidP="004F34EB">
      <w:pPr>
        <w:pStyle w:val="Tekstpodstawowy"/>
        <w:tabs>
          <w:tab w:val="left" w:pos="0"/>
        </w:tabs>
        <w:jc w:val="both"/>
        <w:rPr>
          <w:sz w:val="24"/>
        </w:rPr>
      </w:pPr>
      <w:r w:rsidRPr="00E81523">
        <w:rPr>
          <w:sz w:val="24"/>
        </w:rPr>
        <w:t>Bank dostosowuje skalę działania do możliwości zapewnienia stabilnego finansowania.</w:t>
      </w:r>
    </w:p>
    <w:p w14:paraId="12C58626" w14:textId="77777777" w:rsidR="004F34EB" w:rsidRPr="00E81523" w:rsidRDefault="004F34EB" w:rsidP="004F34EB">
      <w:pPr>
        <w:pStyle w:val="Tekstpodstawowy"/>
        <w:tabs>
          <w:tab w:val="left" w:pos="0"/>
        </w:tabs>
        <w:jc w:val="both"/>
        <w:rPr>
          <w:sz w:val="24"/>
        </w:rPr>
      </w:pPr>
      <w:r w:rsidRPr="00E81523">
        <w:rPr>
          <w:sz w:val="24"/>
        </w:rPr>
        <w:t>Bank zakłada możliwość pozyskiwania dodatkowym źródeł środków z Banku Zrzeszającego na zasadach i w zakresie możliwości Banku Zrzeszającego;</w:t>
      </w:r>
    </w:p>
    <w:p w14:paraId="3EB81B4C" w14:textId="77777777" w:rsidR="004F34EB" w:rsidRPr="00E81523" w:rsidRDefault="004F34EB" w:rsidP="004F34EB">
      <w:pPr>
        <w:pStyle w:val="Tekstpodstawowy"/>
        <w:tabs>
          <w:tab w:val="left" w:pos="0"/>
        </w:tabs>
        <w:jc w:val="both"/>
        <w:rPr>
          <w:sz w:val="24"/>
        </w:rPr>
      </w:pPr>
      <w:r w:rsidRPr="00E81523">
        <w:rPr>
          <w:sz w:val="24"/>
        </w:rPr>
        <w:lastRenderedPageBreak/>
        <w:t>W sytuacji awaryjnej, dodatkowym źródłem finansowania mogą być środki uzyskane w ramach Minimum Depozytowego lub Funduszu Pomocowego na zasadach określonych w Umowie Systemu Ochrony a także pozyskanie kredytu refinansowego w Narodowym Banku Polskim.</w:t>
      </w:r>
    </w:p>
    <w:p w14:paraId="37FC14FE" w14:textId="77777777" w:rsidR="004F34EB" w:rsidRPr="00E81523" w:rsidRDefault="004F34EB" w:rsidP="00A6163B">
      <w:pPr>
        <w:pStyle w:val="Akapitzlist"/>
        <w:spacing w:after="0" w:line="240" w:lineRule="auto"/>
        <w:ind w:left="0"/>
        <w:jc w:val="both"/>
        <w:rPr>
          <w:rFonts w:ascii="Times New Roman" w:hAnsi="Times New Roman" w:cs="Times New Roman"/>
          <w:sz w:val="24"/>
          <w:szCs w:val="24"/>
        </w:rPr>
      </w:pPr>
    </w:p>
    <w:p w14:paraId="5CBE1AB4" w14:textId="77777777" w:rsidR="00BE37ED" w:rsidRPr="00E81523" w:rsidRDefault="00BE37ED" w:rsidP="00BE37ED">
      <w:pPr>
        <w:pStyle w:val="Akapitzlist"/>
        <w:spacing w:after="0" w:line="240" w:lineRule="auto"/>
        <w:ind w:left="0"/>
        <w:jc w:val="both"/>
        <w:rPr>
          <w:rFonts w:ascii="Times New Roman" w:hAnsi="Times New Roman" w:cs="Times New Roman"/>
          <w:sz w:val="24"/>
          <w:szCs w:val="24"/>
        </w:rPr>
      </w:pPr>
      <w:r w:rsidRPr="00E81523">
        <w:rPr>
          <w:rFonts w:ascii="Times New Roman" w:hAnsi="Times New Roman" w:cs="Times New Roman"/>
          <w:sz w:val="24"/>
          <w:szCs w:val="24"/>
        </w:rPr>
        <w:t xml:space="preserve">Bank jest członkiem Zrzeszenia </w:t>
      </w:r>
      <w:r w:rsidR="006F7F05" w:rsidRPr="00E81523">
        <w:rPr>
          <w:rFonts w:ascii="Times New Roman" w:hAnsi="Times New Roman" w:cs="Times New Roman"/>
          <w:sz w:val="24"/>
          <w:szCs w:val="24"/>
        </w:rPr>
        <w:t>o</w:t>
      </w:r>
      <w:r w:rsidRPr="00E81523">
        <w:rPr>
          <w:rFonts w:ascii="Times New Roman" w:hAnsi="Times New Roman" w:cs="Times New Roman"/>
          <w:sz w:val="24"/>
          <w:szCs w:val="24"/>
        </w:rPr>
        <w:t>r</w:t>
      </w:r>
      <w:r w:rsidR="006F7F05" w:rsidRPr="00E81523">
        <w:rPr>
          <w:rFonts w:ascii="Times New Roman" w:hAnsi="Times New Roman" w:cs="Times New Roman"/>
          <w:sz w:val="24"/>
          <w:szCs w:val="24"/>
        </w:rPr>
        <w:t>az Uczestnikiem Systemu Ochrony</w:t>
      </w:r>
      <w:r w:rsidRPr="00E81523">
        <w:rPr>
          <w:rFonts w:ascii="Times New Roman" w:hAnsi="Times New Roman" w:cs="Times New Roman"/>
          <w:sz w:val="24"/>
          <w:szCs w:val="24"/>
        </w:rPr>
        <w:t>. W związku z tym, zarządzanie ryzykiem płynności odbywa się zgodnie z zasadami ustalonymi w Zrzeszeniu i Systemie.</w:t>
      </w:r>
    </w:p>
    <w:p w14:paraId="041361B5" w14:textId="77777777" w:rsidR="00B746A5" w:rsidRPr="00E81523" w:rsidRDefault="00B746A5" w:rsidP="00B746A5">
      <w:pPr>
        <w:spacing w:after="0" w:line="240" w:lineRule="auto"/>
        <w:jc w:val="both"/>
        <w:rPr>
          <w:rFonts w:ascii="Times New Roman" w:hAnsi="Times New Roman"/>
          <w:sz w:val="24"/>
          <w:szCs w:val="24"/>
        </w:rPr>
      </w:pPr>
      <w:r w:rsidRPr="00E81523">
        <w:rPr>
          <w:rFonts w:ascii="Times New Roman" w:hAnsi="Times New Roman"/>
          <w:sz w:val="24"/>
          <w:szCs w:val="24"/>
        </w:rPr>
        <w:t>Bank Zrzeszający realizuje następujące zadania:</w:t>
      </w:r>
    </w:p>
    <w:p w14:paraId="769808F5" w14:textId="46A35F71"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prowadzi rozlicze</w:t>
      </w:r>
      <w:r w:rsidR="00857297" w:rsidRPr="00E81523">
        <w:rPr>
          <w:rFonts w:ascii="Times New Roman" w:hAnsi="Times New Roman"/>
        </w:rPr>
        <w:t>nia</w:t>
      </w:r>
      <w:r w:rsidRPr="00E81523">
        <w:rPr>
          <w:rFonts w:ascii="Times New Roman" w:hAnsi="Times New Roman"/>
        </w:rPr>
        <w:t xml:space="preserve"> pieniężn</w:t>
      </w:r>
      <w:r w:rsidR="00857297" w:rsidRPr="00E81523">
        <w:rPr>
          <w:rFonts w:ascii="Times New Roman" w:hAnsi="Times New Roman"/>
        </w:rPr>
        <w:t>e</w:t>
      </w:r>
      <w:r w:rsidRPr="00E81523">
        <w:rPr>
          <w:rFonts w:ascii="Times New Roman" w:hAnsi="Times New Roman"/>
        </w:rPr>
        <w:t xml:space="preserve"> Banków Spółdzielczych,</w:t>
      </w:r>
    </w:p>
    <w:p w14:paraId="419CA5A6" w14:textId="2A0B0AA4"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zabezpiecza Bank</w:t>
      </w:r>
      <w:r w:rsidR="00857297" w:rsidRPr="00E81523">
        <w:rPr>
          <w:rFonts w:ascii="Times New Roman" w:hAnsi="Times New Roman"/>
        </w:rPr>
        <w:t xml:space="preserve">i </w:t>
      </w:r>
      <w:r w:rsidRPr="00E81523">
        <w:rPr>
          <w:rFonts w:ascii="Times New Roman" w:hAnsi="Times New Roman"/>
        </w:rPr>
        <w:t>Spółdzielcz</w:t>
      </w:r>
      <w:r w:rsidR="00857297" w:rsidRPr="00E81523">
        <w:rPr>
          <w:rFonts w:ascii="Times New Roman" w:hAnsi="Times New Roman"/>
        </w:rPr>
        <w:t>e</w:t>
      </w:r>
      <w:r w:rsidRPr="00E81523">
        <w:rPr>
          <w:rFonts w:ascii="Times New Roman" w:hAnsi="Times New Roman"/>
        </w:rPr>
        <w:t xml:space="preserve"> przed ryzykiem związanym z zakłóceniami w realizacji rozliczeń międzybankowych,</w:t>
      </w:r>
    </w:p>
    <w:p w14:paraId="318BBAE1" w14:textId="22C20388"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zabezpiecza płynnoś</w:t>
      </w:r>
      <w:r w:rsidR="00857297" w:rsidRPr="00E81523">
        <w:rPr>
          <w:rFonts w:ascii="Times New Roman" w:hAnsi="Times New Roman"/>
        </w:rPr>
        <w:t>ć</w:t>
      </w:r>
      <w:r w:rsidRPr="00E81523">
        <w:rPr>
          <w:rFonts w:ascii="Times New Roman" w:hAnsi="Times New Roman"/>
        </w:rPr>
        <w:t xml:space="preserve"> śróddzienn</w:t>
      </w:r>
      <w:r w:rsidR="00857297" w:rsidRPr="00E81523">
        <w:rPr>
          <w:rFonts w:ascii="Times New Roman" w:hAnsi="Times New Roman"/>
        </w:rPr>
        <w:t>ą</w:t>
      </w:r>
      <w:r w:rsidRPr="00E81523">
        <w:rPr>
          <w:rFonts w:ascii="Times New Roman" w:hAnsi="Times New Roman"/>
        </w:rPr>
        <w:t xml:space="preserve"> dla Banków Spółdzielczych,</w:t>
      </w:r>
    </w:p>
    <w:p w14:paraId="588D20F4" w14:textId="334F8690"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prowadz</w:t>
      </w:r>
      <w:r w:rsidR="00857297" w:rsidRPr="00E81523">
        <w:rPr>
          <w:rFonts w:ascii="Times New Roman" w:hAnsi="Times New Roman"/>
        </w:rPr>
        <w:t>i</w:t>
      </w:r>
      <w:r w:rsidRPr="00E81523">
        <w:rPr>
          <w:rFonts w:ascii="Times New Roman" w:hAnsi="Times New Roman"/>
        </w:rPr>
        <w:t xml:space="preserve"> rachunk</w:t>
      </w:r>
      <w:r w:rsidR="00857297" w:rsidRPr="00E81523">
        <w:rPr>
          <w:rFonts w:ascii="Times New Roman" w:hAnsi="Times New Roman"/>
        </w:rPr>
        <w:t>i</w:t>
      </w:r>
      <w:r w:rsidRPr="00E81523">
        <w:rPr>
          <w:rFonts w:ascii="Times New Roman" w:hAnsi="Times New Roman"/>
        </w:rPr>
        <w:t xml:space="preserve"> bieżąc</w:t>
      </w:r>
      <w:r w:rsidR="00857297" w:rsidRPr="00E81523">
        <w:rPr>
          <w:rFonts w:ascii="Times New Roman" w:hAnsi="Times New Roman"/>
        </w:rPr>
        <w:t>e</w:t>
      </w:r>
      <w:r w:rsidRPr="00E81523">
        <w:rPr>
          <w:rFonts w:ascii="Times New Roman" w:hAnsi="Times New Roman"/>
        </w:rPr>
        <w:t xml:space="preserve"> Banków Spółdzielczych,</w:t>
      </w:r>
    </w:p>
    <w:p w14:paraId="39361AF7" w14:textId="50228FA8"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udziela kredytów w rachunku bieżącym Bankom Spółdzielczym zgodnie z regulacjami wewnętrznymi Banku Zrzeszającego,</w:t>
      </w:r>
    </w:p>
    <w:p w14:paraId="6BB545E7" w14:textId="69E10285"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gromadzi nadwyżk</w:t>
      </w:r>
      <w:r w:rsidR="00857297" w:rsidRPr="00E81523">
        <w:rPr>
          <w:rFonts w:ascii="Times New Roman" w:hAnsi="Times New Roman"/>
        </w:rPr>
        <w:t>i</w:t>
      </w:r>
      <w:r w:rsidRPr="00E81523">
        <w:rPr>
          <w:rFonts w:ascii="Times New Roman" w:hAnsi="Times New Roman"/>
        </w:rPr>
        <w:t xml:space="preserve"> środków Banków Spółdzielczych,</w:t>
      </w:r>
    </w:p>
    <w:p w14:paraId="24479665" w14:textId="464E783C"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prowadzi rachunk</w:t>
      </w:r>
      <w:r w:rsidR="00857297" w:rsidRPr="00E81523">
        <w:rPr>
          <w:rFonts w:ascii="Times New Roman" w:hAnsi="Times New Roman"/>
        </w:rPr>
        <w:t>i</w:t>
      </w:r>
      <w:r w:rsidRPr="00E81523">
        <w:rPr>
          <w:rFonts w:ascii="Times New Roman" w:hAnsi="Times New Roman"/>
        </w:rPr>
        <w:t xml:space="preserve"> Minimum Depozytowego</w:t>
      </w:r>
      <w:r w:rsidR="006F7F05" w:rsidRPr="00E81523">
        <w:rPr>
          <w:rFonts w:ascii="Times New Roman" w:hAnsi="Times New Roman"/>
        </w:rPr>
        <w:t xml:space="preserve"> / Depozytu Obowiązkowego</w:t>
      </w:r>
      <w:r w:rsidRPr="00E81523">
        <w:rPr>
          <w:rFonts w:ascii="Times New Roman" w:hAnsi="Times New Roman"/>
        </w:rPr>
        <w:t>,</w:t>
      </w:r>
    </w:p>
    <w:p w14:paraId="696174AF" w14:textId="21341E04"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utrzym</w:t>
      </w:r>
      <w:r w:rsidR="00857297" w:rsidRPr="00E81523">
        <w:rPr>
          <w:rFonts w:ascii="Times New Roman" w:hAnsi="Times New Roman"/>
        </w:rPr>
        <w:t>uje</w:t>
      </w:r>
      <w:r w:rsidRPr="00E81523">
        <w:rPr>
          <w:rFonts w:ascii="Times New Roman" w:hAnsi="Times New Roman"/>
        </w:rPr>
        <w:t xml:space="preserve"> aktyw</w:t>
      </w:r>
      <w:r w:rsidR="00857297" w:rsidRPr="00E81523">
        <w:rPr>
          <w:rFonts w:ascii="Times New Roman" w:hAnsi="Times New Roman"/>
        </w:rPr>
        <w:t>a</w:t>
      </w:r>
      <w:r w:rsidRPr="00E81523">
        <w:rPr>
          <w:rFonts w:ascii="Times New Roman" w:hAnsi="Times New Roman"/>
        </w:rPr>
        <w:t xml:space="preserve"> płynn</w:t>
      </w:r>
      <w:r w:rsidR="00857297" w:rsidRPr="00E81523">
        <w:rPr>
          <w:rFonts w:ascii="Times New Roman" w:hAnsi="Times New Roman"/>
        </w:rPr>
        <w:t>e</w:t>
      </w:r>
      <w:r w:rsidRPr="00E81523">
        <w:rPr>
          <w:rFonts w:ascii="Times New Roman" w:hAnsi="Times New Roman"/>
        </w:rPr>
        <w:t xml:space="preserve"> stanowiąc</w:t>
      </w:r>
      <w:r w:rsidR="00857297" w:rsidRPr="00E81523">
        <w:rPr>
          <w:rFonts w:ascii="Times New Roman" w:hAnsi="Times New Roman"/>
        </w:rPr>
        <w:t>e</w:t>
      </w:r>
      <w:r w:rsidRPr="00E81523">
        <w:rPr>
          <w:rFonts w:ascii="Times New Roman" w:hAnsi="Times New Roman"/>
        </w:rPr>
        <w:t xml:space="preserve"> pokrycie środków Minimum Depozytowego,</w:t>
      </w:r>
      <w:r w:rsidR="006F7F05" w:rsidRPr="00E81523">
        <w:rPr>
          <w:rFonts w:ascii="Times New Roman" w:hAnsi="Times New Roman"/>
        </w:rPr>
        <w:t xml:space="preserve"> / Depozytu Obowiązkowego.</w:t>
      </w:r>
    </w:p>
    <w:p w14:paraId="5AC64F2A" w14:textId="779B7970"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wyznacza i utrzym</w:t>
      </w:r>
      <w:r w:rsidR="00857297" w:rsidRPr="00E81523">
        <w:rPr>
          <w:rFonts w:ascii="Times New Roman" w:hAnsi="Times New Roman"/>
        </w:rPr>
        <w:t>uje</w:t>
      </w:r>
      <w:r w:rsidRPr="00E81523">
        <w:rPr>
          <w:rFonts w:ascii="Times New Roman" w:hAnsi="Times New Roman"/>
        </w:rPr>
        <w:t xml:space="preserve"> zagregowan</w:t>
      </w:r>
      <w:r w:rsidR="00857297" w:rsidRPr="00E81523">
        <w:rPr>
          <w:rFonts w:ascii="Times New Roman" w:hAnsi="Times New Roman"/>
        </w:rPr>
        <w:t>y</w:t>
      </w:r>
      <w:r w:rsidRPr="00E81523">
        <w:rPr>
          <w:rFonts w:ascii="Times New Roman" w:hAnsi="Times New Roman"/>
        </w:rPr>
        <w:t xml:space="preserve"> wym</w:t>
      </w:r>
      <w:r w:rsidR="00857297" w:rsidRPr="00E81523">
        <w:rPr>
          <w:rFonts w:ascii="Times New Roman" w:hAnsi="Times New Roman"/>
        </w:rPr>
        <w:t>óg</w:t>
      </w:r>
      <w:r w:rsidRPr="00E81523">
        <w:rPr>
          <w:rFonts w:ascii="Times New Roman" w:hAnsi="Times New Roman"/>
        </w:rPr>
        <w:t xml:space="preserve"> pokrycia płynności (LCR</w:t>
      </w:r>
      <w:r w:rsidR="00E51B9C" w:rsidRPr="00E81523">
        <w:rPr>
          <w:rFonts w:ascii="Times New Roman" w:hAnsi="Times New Roman"/>
        </w:rPr>
        <w:t>)</w:t>
      </w:r>
      <w:r w:rsidRPr="00E81523">
        <w:rPr>
          <w:rFonts w:ascii="Times New Roman" w:hAnsi="Times New Roman"/>
        </w:rPr>
        <w:t>,</w:t>
      </w:r>
    </w:p>
    <w:p w14:paraId="04D7E630" w14:textId="58FC7102"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pośrednicz</w:t>
      </w:r>
      <w:r w:rsidR="00857297" w:rsidRPr="00E81523">
        <w:rPr>
          <w:rFonts w:ascii="Times New Roman" w:hAnsi="Times New Roman"/>
        </w:rPr>
        <w:t>y</w:t>
      </w:r>
      <w:r w:rsidRPr="00E81523">
        <w:rPr>
          <w:rFonts w:ascii="Times New Roman" w:hAnsi="Times New Roman"/>
        </w:rPr>
        <w:t xml:space="preserve"> w zakupie przez Banki Spółdzielcze papierów wartościowych w ramach limitów ustalonych przez Spółdzielnię,</w:t>
      </w:r>
    </w:p>
    <w:p w14:paraId="69A67070" w14:textId="79B46116"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przeprowadz</w:t>
      </w:r>
      <w:r w:rsidR="00857297" w:rsidRPr="00E81523">
        <w:rPr>
          <w:rFonts w:ascii="Times New Roman" w:hAnsi="Times New Roman"/>
        </w:rPr>
        <w:t>a</w:t>
      </w:r>
      <w:r w:rsidRPr="00E81523">
        <w:rPr>
          <w:rFonts w:ascii="Times New Roman" w:hAnsi="Times New Roman"/>
        </w:rPr>
        <w:t xml:space="preserve"> „zagregowan</w:t>
      </w:r>
      <w:r w:rsidR="00857297" w:rsidRPr="00E81523">
        <w:rPr>
          <w:rFonts w:ascii="Times New Roman" w:hAnsi="Times New Roman"/>
        </w:rPr>
        <w:t>e</w:t>
      </w:r>
      <w:r w:rsidRPr="00E81523">
        <w:rPr>
          <w:rFonts w:ascii="Times New Roman" w:hAnsi="Times New Roman"/>
        </w:rPr>
        <w:t>” test</w:t>
      </w:r>
      <w:r w:rsidR="00857297" w:rsidRPr="00E81523">
        <w:rPr>
          <w:rFonts w:ascii="Times New Roman" w:hAnsi="Times New Roman"/>
        </w:rPr>
        <w:t>y</w:t>
      </w:r>
      <w:r w:rsidRPr="00E81523">
        <w:rPr>
          <w:rFonts w:ascii="Times New Roman" w:hAnsi="Times New Roman"/>
        </w:rPr>
        <w:t xml:space="preserve"> warunków skrajnych i awaryjn</w:t>
      </w:r>
      <w:r w:rsidR="00857297" w:rsidRPr="00E81523">
        <w:rPr>
          <w:rFonts w:ascii="Times New Roman" w:hAnsi="Times New Roman"/>
        </w:rPr>
        <w:t>e</w:t>
      </w:r>
      <w:r w:rsidRPr="00E81523">
        <w:rPr>
          <w:rFonts w:ascii="Times New Roman" w:hAnsi="Times New Roman"/>
        </w:rPr>
        <w:t xml:space="preserve"> plan</w:t>
      </w:r>
      <w:r w:rsidR="00857297" w:rsidRPr="00E81523">
        <w:rPr>
          <w:rFonts w:ascii="Times New Roman" w:hAnsi="Times New Roman"/>
        </w:rPr>
        <w:t xml:space="preserve">y </w:t>
      </w:r>
      <w:r w:rsidRPr="00E81523">
        <w:rPr>
          <w:rFonts w:ascii="Times New Roman" w:hAnsi="Times New Roman"/>
        </w:rPr>
        <w:t>płynności,</w:t>
      </w:r>
    </w:p>
    <w:p w14:paraId="313470F3" w14:textId="44EF2AFF" w:rsidR="00B746A5" w:rsidRPr="00E81523" w:rsidRDefault="00B746A5" w:rsidP="000C62C3">
      <w:pPr>
        <w:pStyle w:val="Tekstpodstawowy2"/>
        <w:numPr>
          <w:ilvl w:val="0"/>
          <w:numId w:val="18"/>
        </w:numPr>
        <w:tabs>
          <w:tab w:val="clear" w:pos="360"/>
          <w:tab w:val="num" w:pos="426"/>
        </w:tabs>
        <w:ind w:left="426" w:hanging="426"/>
        <w:rPr>
          <w:rFonts w:ascii="Times New Roman" w:hAnsi="Times New Roman"/>
        </w:rPr>
      </w:pPr>
      <w:r w:rsidRPr="00E81523">
        <w:rPr>
          <w:rFonts w:ascii="Times New Roman" w:hAnsi="Times New Roman"/>
        </w:rPr>
        <w:t>wsp</w:t>
      </w:r>
      <w:r w:rsidR="00857297" w:rsidRPr="00E81523">
        <w:rPr>
          <w:rFonts w:ascii="Times New Roman" w:hAnsi="Times New Roman"/>
        </w:rPr>
        <w:t>iera</w:t>
      </w:r>
      <w:r w:rsidRPr="00E81523">
        <w:rPr>
          <w:rFonts w:ascii="Times New Roman" w:hAnsi="Times New Roman"/>
        </w:rPr>
        <w:t xml:space="preserve"> Bank</w:t>
      </w:r>
      <w:r w:rsidR="00857297" w:rsidRPr="00E81523">
        <w:rPr>
          <w:rFonts w:ascii="Times New Roman" w:hAnsi="Times New Roman"/>
        </w:rPr>
        <w:t>i</w:t>
      </w:r>
      <w:r w:rsidRPr="00E81523">
        <w:rPr>
          <w:rFonts w:ascii="Times New Roman" w:hAnsi="Times New Roman"/>
        </w:rPr>
        <w:t xml:space="preserve"> Spółdzielcz</w:t>
      </w:r>
      <w:r w:rsidR="00857297" w:rsidRPr="00E81523">
        <w:rPr>
          <w:rFonts w:ascii="Times New Roman" w:hAnsi="Times New Roman"/>
        </w:rPr>
        <w:t>e</w:t>
      </w:r>
      <w:r w:rsidRPr="00E81523">
        <w:rPr>
          <w:rFonts w:ascii="Times New Roman" w:hAnsi="Times New Roman"/>
        </w:rPr>
        <w:t xml:space="preserve"> w zakresie narzędzi analitycznych służących pomiarowi ryzyka płynności, w tym wyznacza krzyw</w:t>
      </w:r>
      <w:r w:rsidR="00857297" w:rsidRPr="00E81523">
        <w:rPr>
          <w:rFonts w:ascii="Times New Roman" w:hAnsi="Times New Roman"/>
        </w:rPr>
        <w:t>ą</w:t>
      </w:r>
      <w:r w:rsidRPr="00E81523">
        <w:rPr>
          <w:rFonts w:ascii="Times New Roman" w:hAnsi="Times New Roman"/>
        </w:rPr>
        <w:t xml:space="preserve"> krańcow</w:t>
      </w:r>
      <w:r w:rsidR="00857297" w:rsidRPr="00E81523">
        <w:rPr>
          <w:rFonts w:ascii="Times New Roman" w:hAnsi="Times New Roman"/>
        </w:rPr>
        <w:t>ą</w:t>
      </w:r>
      <w:r w:rsidRPr="00E81523">
        <w:rPr>
          <w:rFonts w:ascii="Times New Roman" w:hAnsi="Times New Roman"/>
        </w:rPr>
        <w:t xml:space="preserve"> kosztu finansowania.</w:t>
      </w:r>
    </w:p>
    <w:p w14:paraId="1B84E516" w14:textId="77777777" w:rsidR="00857297" w:rsidRPr="00E81523" w:rsidRDefault="00857297" w:rsidP="0077559B">
      <w:pPr>
        <w:spacing w:after="0" w:line="240" w:lineRule="auto"/>
        <w:jc w:val="both"/>
        <w:rPr>
          <w:rFonts w:ascii="Times New Roman" w:hAnsi="Times New Roman"/>
          <w:sz w:val="24"/>
          <w:szCs w:val="24"/>
        </w:rPr>
      </w:pPr>
    </w:p>
    <w:p w14:paraId="43DDE235" w14:textId="26516463" w:rsidR="0077559B" w:rsidRPr="00E81523" w:rsidRDefault="0077559B" w:rsidP="0077559B">
      <w:pPr>
        <w:spacing w:after="0" w:line="240" w:lineRule="auto"/>
        <w:jc w:val="both"/>
        <w:rPr>
          <w:rFonts w:ascii="Times New Roman" w:hAnsi="Times New Roman"/>
          <w:sz w:val="24"/>
          <w:szCs w:val="24"/>
        </w:rPr>
      </w:pPr>
      <w:r w:rsidRPr="00E81523">
        <w:rPr>
          <w:rFonts w:ascii="Times New Roman" w:hAnsi="Times New Roman"/>
          <w:sz w:val="24"/>
          <w:szCs w:val="24"/>
        </w:rPr>
        <w:t>Jednostka zarządzająca Systemem Ochrony realizuje następujące zadania:</w:t>
      </w:r>
    </w:p>
    <w:p w14:paraId="323BF37B" w14:textId="4D50CB7D"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udziela pomocy płynnościowej Uczestnikom, zgodnie z przepisami obowiązującymi w Systemie Ochrony,</w:t>
      </w:r>
    </w:p>
    <w:p w14:paraId="40F8828F" w14:textId="40E88079"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wyznacza minimaln</w:t>
      </w:r>
      <w:r w:rsidR="00857297" w:rsidRPr="00E81523">
        <w:rPr>
          <w:rFonts w:ascii="Times New Roman" w:hAnsi="Times New Roman"/>
        </w:rPr>
        <w:t>y</w:t>
      </w:r>
      <w:r w:rsidRPr="00E81523">
        <w:rPr>
          <w:rFonts w:ascii="Times New Roman" w:hAnsi="Times New Roman"/>
        </w:rPr>
        <w:t xml:space="preserve"> zas</w:t>
      </w:r>
      <w:r w:rsidR="00857297" w:rsidRPr="00E81523">
        <w:rPr>
          <w:rFonts w:ascii="Times New Roman" w:hAnsi="Times New Roman"/>
        </w:rPr>
        <w:t>ób</w:t>
      </w:r>
      <w:r w:rsidRPr="00E81523">
        <w:rPr>
          <w:rFonts w:ascii="Times New Roman" w:hAnsi="Times New Roman"/>
        </w:rPr>
        <w:t xml:space="preserve"> aktywów płynnych w Systemie Ochrony (m.in. poprzez aktualizację kwoty Minimum Depozytowego</w:t>
      </w:r>
      <w:r w:rsidR="006F7F05" w:rsidRPr="00E81523">
        <w:rPr>
          <w:rFonts w:ascii="Times New Roman" w:hAnsi="Times New Roman"/>
        </w:rPr>
        <w:t xml:space="preserve"> / / Depozytu Obowiązkowego</w:t>
      </w:r>
      <w:r w:rsidRPr="00E81523">
        <w:rPr>
          <w:rFonts w:ascii="Times New Roman" w:hAnsi="Times New Roman"/>
        </w:rPr>
        <w:t>),</w:t>
      </w:r>
    </w:p>
    <w:p w14:paraId="18B58FBA" w14:textId="64D917CB"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ustala limit</w:t>
      </w:r>
      <w:r w:rsidR="00857297" w:rsidRPr="00E81523">
        <w:rPr>
          <w:rFonts w:ascii="Times New Roman" w:hAnsi="Times New Roman"/>
        </w:rPr>
        <w:t>y</w:t>
      </w:r>
      <w:r w:rsidRPr="00E81523">
        <w:rPr>
          <w:rFonts w:ascii="Times New Roman" w:hAnsi="Times New Roman"/>
        </w:rPr>
        <w:t xml:space="preserve"> ryzyka płynności w Systemie Ochrony;</w:t>
      </w:r>
    </w:p>
    <w:p w14:paraId="08579C01" w14:textId="3183C445"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monitor</w:t>
      </w:r>
      <w:r w:rsidR="00857297" w:rsidRPr="00E81523">
        <w:rPr>
          <w:rFonts w:ascii="Times New Roman" w:hAnsi="Times New Roman"/>
        </w:rPr>
        <w:t>uje</w:t>
      </w:r>
      <w:r w:rsidRPr="00E81523">
        <w:rPr>
          <w:rFonts w:ascii="Times New Roman" w:hAnsi="Times New Roman"/>
        </w:rPr>
        <w:t xml:space="preserve"> poziom płynności Uczestników na zasadzie indywidualnej i zagregowanej,</w:t>
      </w:r>
    </w:p>
    <w:p w14:paraId="24088624" w14:textId="5AC3B932"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prowadz</w:t>
      </w:r>
      <w:r w:rsidR="00857297" w:rsidRPr="00E81523">
        <w:rPr>
          <w:rFonts w:ascii="Times New Roman" w:hAnsi="Times New Roman"/>
        </w:rPr>
        <w:t>i</w:t>
      </w:r>
      <w:r w:rsidRPr="00E81523">
        <w:rPr>
          <w:rFonts w:ascii="Times New Roman" w:hAnsi="Times New Roman"/>
        </w:rPr>
        <w:t xml:space="preserve"> wymian</w:t>
      </w:r>
      <w:r w:rsidR="00857297" w:rsidRPr="00E81523">
        <w:rPr>
          <w:rFonts w:ascii="Times New Roman" w:hAnsi="Times New Roman"/>
        </w:rPr>
        <w:t>ę</w:t>
      </w:r>
      <w:r w:rsidRPr="00E81523">
        <w:rPr>
          <w:rFonts w:ascii="Times New Roman" w:hAnsi="Times New Roman"/>
        </w:rPr>
        <w:t xml:space="preserve"> informacji o ryzyku płynności pomiędzy Uczestnikami,</w:t>
      </w:r>
    </w:p>
    <w:p w14:paraId="760EDA42" w14:textId="77777777" w:rsidR="0077559B" w:rsidRPr="00E81523" w:rsidRDefault="0077559B" w:rsidP="000C62C3">
      <w:pPr>
        <w:pStyle w:val="Tekstpodstawowy2"/>
        <w:numPr>
          <w:ilvl w:val="0"/>
          <w:numId w:val="19"/>
        </w:numPr>
        <w:tabs>
          <w:tab w:val="clear" w:pos="360"/>
          <w:tab w:val="num" w:pos="426"/>
        </w:tabs>
        <w:ind w:left="426" w:hanging="426"/>
        <w:rPr>
          <w:rFonts w:ascii="Times New Roman" w:hAnsi="Times New Roman"/>
        </w:rPr>
      </w:pPr>
      <w:r w:rsidRPr="00E81523">
        <w:rPr>
          <w:rFonts w:ascii="Times New Roman" w:hAnsi="Times New Roman"/>
        </w:rPr>
        <w:t>opracowanie procedur wzorcowych dotyczących zarządzania ryzykiem płynności.</w:t>
      </w:r>
    </w:p>
    <w:p w14:paraId="454B7CCA" w14:textId="77777777" w:rsidR="00857297" w:rsidRPr="00E81523" w:rsidRDefault="00857297" w:rsidP="008B1185">
      <w:pPr>
        <w:spacing w:after="0" w:line="240" w:lineRule="auto"/>
        <w:jc w:val="both"/>
        <w:rPr>
          <w:rFonts w:ascii="Times New Roman" w:hAnsi="Times New Roman"/>
          <w:sz w:val="24"/>
          <w:szCs w:val="24"/>
        </w:rPr>
      </w:pPr>
    </w:p>
    <w:p w14:paraId="32D8053F" w14:textId="21A4AB47" w:rsidR="008B1185" w:rsidRPr="00E81523" w:rsidRDefault="008B1185" w:rsidP="008B1185">
      <w:pPr>
        <w:spacing w:after="0" w:line="240" w:lineRule="auto"/>
        <w:jc w:val="both"/>
        <w:rPr>
          <w:rFonts w:ascii="Times New Roman" w:hAnsi="Times New Roman"/>
          <w:sz w:val="24"/>
          <w:szCs w:val="24"/>
        </w:rPr>
      </w:pPr>
      <w:r w:rsidRPr="00E81523">
        <w:rPr>
          <w:rFonts w:ascii="Times New Roman" w:hAnsi="Times New Roman"/>
          <w:sz w:val="24"/>
          <w:szCs w:val="24"/>
        </w:rPr>
        <w:t>Nadwyżki środków niewykorzystane na działalność kredytową lub nie przeznaczone przez Bank na zakup innych aktywów (w tym aktywów płynnych) gromadzi Bank Zrzeszający.</w:t>
      </w:r>
    </w:p>
    <w:p w14:paraId="244E11B0" w14:textId="77777777" w:rsidR="008B1185" w:rsidRPr="00E81523" w:rsidRDefault="008B1185" w:rsidP="008B1185">
      <w:pPr>
        <w:spacing w:after="0" w:line="240" w:lineRule="auto"/>
        <w:jc w:val="both"/>
        <w:rPr>
          <w:rFonts w:ascii="Times New Roman" w:hAnsi="Times New Roman"/>
          <w:sz w:val="24"/>
          <w:szCs w:val="24"/>
        </w:rPr>
      </w:pPr>
      <w:r w:rsidRPr="00E81523">
        <w:rPr>
          <w:rFonts w:ascii="Times New Roman" w:hAnsi="Times New Roman"/>
          <w:sz w:val="24"/>
          <w:szCs w:val="24"/>
        </w:rPr>
        <w:t>Bank może w inny sposób zagospodarować nadwyżkę środków tylko za zgodą Banku Zrzeszającego.</w:t>
      </w:r>
    </w:p>
    <w:p w14:paraId="1A8B3691" w14:textId="4C707875" w:rsidR="008C3365" w:rsidRPr="00D32445" w:rsidRDefault="00BC11AE" w:rsidP="005D02DB">
      <w:pPr>
        <w:pStyle w:val="Akapitzlist"/>
        <w:spacing w:after="0" w:line="240" w:lineRule="auto"/>
        <w:ind w:left="0"/>
        <w:jc w:val="both"/>
        <w:rPr>
          <w:rFonts w:ascii="Times New Roman" w:hAnsi="Times New Roman" w:cs="Times New Roman"/>
          <w:sz w:val="24"/>
          <w:szCs w:val="24"/>
        </w:rPr>
      </w:pPr>
      <w:r w:rsidRPr="00D32445">
        <w:rPr>
          <w:rFonts w:ascii="Times New Roman" w:hAnsi="Times New Roman" w:cs="Times New Roman"/>
          <w:sz w:val="24"/>
          <w:szCs w:val="24"/>
        </w:rPr>
        <w:t xml:space="preserve">Na datę sporządzania niniejszej informacji Bank wykazywał nadwyżkę płynności </w:t>
      </w:r>
      <w:r w:rsidR="008C3365" w:rsidRPr="00D32445">
        <w:rPr>
          <w:rFonts w:ascii="Times New Roman" w:hAnsi="Times New Roman" w:cs="Times New Roman"/>
          <w:sz w:val="24"/>
          <w:szCs w:val="24"/>
        </w:rPr>
        <w:t>(rozumianą jako maksymalna kwota środków, o którą mogą zostać zmniejszone aktywa płynne, aby regulacyjne miary płynności nie spadły poniżej wymaganego minimum:</w:t>
      </w:r>
    </w:p>
    <w:p w14:paraId="11C9EE35" w14:textId="0AC42898" w:rsidR="00E81523" w:rsidRPr="00D32445" w:rsidRDefault="00E81523" w:rsidP="005D02DB">
      <w:pPr>
        <w:pStyle w:val="Akapitzlist"/>
        <w:spacing w:after="0" w:line="240" w:lineRule="auto"/>
        <w:ind w:left="0"/>
        <w:jc w:val="both"/>
        <w:rPr>
          <w:rFonts w:ascii="Times New Roman" w:hAnsi="Times New Roman" w:cs="Times New Roman"/>
          <w:sz w:val="24"/>
          <w:szCs w:val="24"/>
        </w:rPr>
      </w:pPr>
    </w:p>
    <w:p w14:paraId="69B91B0F" w14:textId="77777777" w:rsidR="00873755" w:rsidRPr="00D32445" w:rsidRDefault="00873755" w:rsidP="005D02DB">
      <w:pPr>
        <w:pStyle w:val="Akapitzlist"/>
        <w:spacing w:after="0" w:line="240" w:lineRule="auto"/>
        <w:ind w:left="0"/>
        <w:jc w:val="both"/>
        <w:rPr>
          <w:rFonts w:ascii="Times New Roman" w:hAnsi="Times New Roman" w:cs="Times New Roman"/>
          <w:sz w:val="24"/>
          <w:szCs w:val="24"/>
        </w:rPr>
      </w:pPr>
    </w:p>
    <w:tbl>
      <w:tblPr>
        <w:tblStyle w:val="Jasnasiatk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105"/>
      </w:tblGrid>
      <w:tr w:rsidR="00ED417D" w:rsidRPr="00ED417D" w14:paraId="4BB255F8" w14:textId="77777777" w:rsidTr="0099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5" w:type="dxa"/>
            <w:shd w:val="clear" w:color="auto" w:fill="D9D9D9" w:themeFill="background1" w:themeFillShade="D9"/>
            <w:vAlign w:val="center"/>
          </w:tcPr>
          <w:p w14:paraId="7D500C1A" w14:textId="77777777" w:rsidR="00E84096" w:rsidRPr="00940E46" w:rsidRDefault="00E84096" w:rsidP="00FC6E81">
            <w:pPr>
              <w:jc w:val="center"/>
              <w:rPr>
                <w:rFonts w:ascii="Times New Roman" w:hAnsi="Times New Roman" w:cs="Times New Roman"/>
                <w:i/>
                <w:sz w:val="20"/>
                <w:szCs w:val="20"/>
              </w:rPr>
            </w:pPr>
            <w:r w:rsidRPr="00940E46">
              <w:rPr>
                <w:rFonts w:ascii="Times New Roman" w:hAnsi="Times New Roman" w:cs="Times New Roman"/>
                <w:i/>
                <w:sz w:val="20"/>
                <w:szCs w:val="20"/>
              </w:rPr>
              <w:t>Nazwa nadwyżki</w:t>
            </w:r>
          </w:p>
        </w:tc>
        <w:tc>
          <w:tcPr>
            <w:tcW w:w="2107" w:type="dxa"/>
            <w:shd w:val="clear" w:color="auto" w:fill="D9D9D9" w:themeFill="background1" w:themeFillShade="D9"/>
            <w:vAlign w:val="center"/>
          </w:tcPr>
          <w:p w14:paraId="02ED32BE" w14:textId="77777777" w:rsidR="00E84096" w:rsidRPr="00940E46" w:rsidRDefault="00E84096" w:rsidP="00FC6E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940E46">
              <w:rPr>
                <w:rFonts w:ascii="Times New Roman" w:hAnsi="Times New Roman" w:cs="Times New Roman"/>
                <w:i/>
                <w:sz w:val="20"/>
                <w:szCs w:val="20"/>
              </w:rPr>
              <w:t>Wartość nadwyżki</w:t>
            </w:r>
          </w:p>
          <w:p w14:paraId="60C048B6" w14:textId="77777777" w:rsidR="00E84096" w:rsidRPr="00940E46" w:rsidRDefault="00E84096" w:rsidP="00FC6E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940E46">
              <w:rPr>
                <w:rFonts w:ascii="Times New Roman" w:hAnsi="Times New Roman" w:cs="Times New Roman"/>
                <w:i/>
                <w:sz w:val="20"/>
                <w:szCs w:val="20"/>
              </w:rPr>
              <w:t>w tys.zł.</w:t>
            </w:r>
          </w:p>
        </w:tc>
      </w:tr>
      <w:tr w:rsidR="00ED417D" w:rsidRPr="00ED417D" w14:paraId="0AFE9DBD" w14:textId="77777777" w:rsidTr="00992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5" w:type="dxa"/>
            <w:shd w:val="clear" w:color="auto" w:fill="auto"/>
          </w:tcPr>
          <w:p w14:paraId="1398F27F" w14:textId="77777777" w:rsidR="00E84096" w:rsidRPr="00940E46" w:rsidRDefault="00E84096" w:rsidP="00E84096">
            <w:pPr>
              <w:rPr>
                <w:rFonts w:ascii="Times New Roman" w:hAnsi="Times New Roman" w:cs="Times New Roman"/>
                <w:sz w:val="20"/>
                <w:szCs w:val="20"/>
              </w:rPr>
            </w:pPr>
            <w:r w:rsidRPr="00940E46">
              <w:rPr>
                <w:rFonts w:ascii="Times New Roman" w:hAnsi="Times New Roman" w:cs="Times New Roman"/>
                <w:sz w:val="20"/>
                <w:szCs w:val="20"/>
              </w:rPr>
              <w:t>LCR ponad minimum</w:t>
            </w:r>
            <w:r w:rsidR="00FC6E81" w:rsidRPr="00940E46">
              <w:rPr>
                <w:rFonts w:ascii="Times New Roman" w:hAnsi="Times New Roman" w:cs="Times New Roman"/>
                <w:sz w:val="20"/>
                <w:szCs w:val="20"/>
              </w:rPr>
              <w:t xml:space="preserve"> – nadwyżka aktywów płynnych</w:t>
            </w:r>
          </w:p>
        </w:tc>
        <w:tc>
          <w:tcPr>
            <w:tcW w:w="2107" w:type="dxa"/>
            <w:shd w:val="clear" w:color="auto" w:fill="auto"/>
          </w:tcPr>
          <w:p w14:paraId="6D9BBF16" w14:textId="439077CE" w:rsidR="00E84096" w:rsidRPr="00940E46" w:rsidRDefault="00940E46" w:rsidP="00110A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E46">
              <w:rPr>
                <w:rFonts w:ascii="Times New Roman" w:hAnsi="Times New Roman" w:cs="Times New Roman"/>
                <w:sz w:val="20"/>
                <w:szCs w:val="20"/>
              </w:rPr>
              <w:t>9 118,38</w:t>
            </w:r>
          </w:p>
        </w:tc>
      </w:tr>
    </w:tbl>
    <w:p w14:paraId="51616459" w14:textId="77777777" w:rsidR="00C71F4F" w:rsidRPr="00940E46" w:rsidRDefault="00C71F4F" w:rsidP="00892974">
      <w:pPr>
        <w:spacing w:after="0" w:line="240" w:lineRule="auto"/>
        <w:jc w:val="both"/>
        <w:rPr>
          <w:rFonts w:ascii="Times New Roman" w:hAnsi="Times New Roman" w:cs="Times New Roman"/>
          <w:sz w:val="24"/>
          <w:szCs w:val="24"/>
        </w:rPr>
      </w:pPr>
      <w:r w:rsidRPr="00940E46">
        <w:rPr>
          <w:rFonts w:ascii="Times New Roman" w:hAnsi="Times New Roman" w:cs="Times New Roman"/>
          <w:sz w:val="24"/>
          <w:szCs w:val="24"/>
        </w:rPr>
        <w:t xml:space="preserve">Wielkość miar płynności oraz wskaźnika LCR </w:t>
      </w:r>
      <w:r w:rsidR="007B498B" w:rsidRPr="00940E46">
        <w:rPr>
          <w:rFonts w:ascii="Times New Roman" w:hAnsi="Times New Roman" w:cs="Times New Roman"/>
          <w:sz w:val="24"/>
          <w:szCs w:val="24"/>
        </w:rPr>
        <w:t>przedstawiają</w:t>
      </w:r>
      <w:r w:rsidR="00892974" w:rsidRPr="00940E46">
        <w:rPr>
          <w:rFonts w:ascii="Times New Roman" w:hAnsi="Times New Roman" w:cs="Times New Roman"/>
          <w:sz w:val="24"/>
          <w:szCs w:val="24"/>
        </w:rPr>
        <w:t xml:space="preserve"> się następująco:</w:t>
      </w:r>
    </w:p>
    <w:tbl>
      <w:tblPr>
        <w:tblStyle w:val="Jasnasiatk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1988"/>
        <w:gridCol w:w="2769"/>
      </w:tblGrid>
      <w:tr w:rsidR="00940E46" w:rsidRPr="00940E46" w14:paraId="18CA17BD" w14:textId="77777777" w:rsidTr="0099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0" w:type="dxa"/>
            <w:shd w:val="clear" w:color="auto" w:fill="D9D9D9" w:themeFill="background1" w:themeFillShade="D9"/>
            <w:vAlign w:val="center"/>
          </w:tcPr>
          <w:p w14:paraId="40330FF3" w14:textId="77777777" w:rsidR="00892974" w:rsidRPr="00940E46" w:rsidRDefault="00892974" w:rsidP="003D0DC7">
            <w:pPr>
              <w:jc w:val="center"/>
              <w:rPr>
                <w:rFonts w:ascii="Times New Roman" w:hAnsi="Times New Roman" w:cs="Times New Roman"/>
                <w:i/>
                <w:sz w:val="20"/>
                <w:szCs w:val="20"/>
              </w:rPr>
            </w:pPr>
            <w:r w:rsidRPr="00940E46">
              <w:rPr>
                <w:rFonts w:ascii="Times New Roman" w:hAnsi="Times New Roman" w:cs="Times New Roman"/>
                <w:i/>
                <w:sz w:val="20"/>
                <w:szCs w:val="20"/>
              </w:rPr>
              <w:t>Nazwa</w:t>
            </w:r>
          </w:p>
        </w:tc>
        <w:tc>
          <w:tcPr>
            <w:tcW w:w="1990" w:type="dxa"/>
            <w:shd w:val="clear" w:color="auto" w:fill="D9D9D9" w:themeFill="background1" w:themeFillShade="D9"/>
            <w:vAlign w:val="center"/>
          </w:tcPr>
          <w:p w14:paraId="01F7A7D6" w14:textId="77777777" w:rsidR="00892974" w:rsidRPr="00940E46" w:rsidRDefault="00892974" w:rsidP="003D0D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940E46">
              <w:rPr>
                <w:rFonts w:ascii="Times New Roman" w:hAnsi="Times New Roman" w:cs="Times New Roman"/>
                <w:i/>
                <w:sz w:val="20"/>
                <w:szCs w:val="20"/>
              </w:rPr>
              <w:t>Wielkość</w:t>
            </w:r>
          </w:p>
        </w:tc>
        <w:tc>
          <w:tcPr>
            <w:tcW w:w="2772" w:type="dxa"/>
            <w:shd w:val="clear" w:color="auto" w:fill="D9D9D9" w:themeFill="background1" w:themeFillShade="D9"/>
            <w:vAlign w:val="center"/>
          </w:tcPr>
          <w:p w14:paraId="14EE65F5" w14:textId="77777777" w:rsidR="00892974" w:rsidRPr="00940E46" w:rsidRDefault="003D0DC7" w:rsidP="003D0D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940E46">
              <w:rPr>
                <w:rFonts w:ascii="Times New Roman" w:hAnsi="Times New Roman" w:cs="Times New Roman"/>
                <w:i/>
                <w:sz w:val="20"/>
                <w:szCs w:val="20"/>
              </w:rPr>
              <w:t>Obowiązujący poziom</w:t>
            </w:r>
          </w:p>
        </w:tc>
      </w:tr>
      <w:tr w:rsidR="00940E46" w:rsidRPr="00940E46" w14:paraId="0C5D58EB" w14:textId="77777777" w:rsidTr="00992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1BFD6CD4" w14:textId="77777777" w:rsidR="00892974" w:rsidRPr="00940E46" w:rsidRDefault="003D0DC7" w:rsidP="00236DB6">
            <w:pPr>
              <w:jc w:val="both"/>
              <w:rPr>
                <w:rFonts w:ascii="Times New Roman" w:hAnsi="Times New Roman" w:cs="Times New Roman"/>
                <w:sz w:val="20"/>
                <w:szCs w:val="20"/>
              </w:rPr>
            </w:pPr>
            <w:r w:rsidRPr="00940E46">
              <w:rPr>
                <w:rFonts w:ascii="Times New Roman" w:hAnsi="Times New Roman" w:cs="Times New Roman"/>
                <w:sz w:val="20"/>
                <w:szCs w:val="20"/>
              </w:rPr>
              <w:lastRenderedPageBreak/>
              <w:t>Nadzorcza miara płynności długoterminowej</w:t>
            </w:r>
          </w:p>
        </w:tc>
        <w:tc>
          <w:tcPr>
            <w:tcW w:w="1990" w:type="dxa"/>
            <w:shd w:val="clear" w:color="auto" w:fill="auto"/>
          </w:tcPr>
          <w:p w14:paraId="6444B936" w14:textId="649E1F6A" w:rsidR="00892974" w:rsidRPr="00940E46" w:rsidRDefault="00857297" w:rsidP="00857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E46">
              <w:rPr>
                <w:rFonts w:ascii="Times New Roman" w:hAnsi="Times New Roman" w:cs="Times New Roman"/>
                <w:sz w:val="20"/>
                <w:szCs w:val="20"/>
              </w:rPr>
              <w:t>3,</w:t>
            </w:r>
            <w:r w:rsidR="00940E46" w:rsidRPr="00940E46">
              <w:rPr>
                <w:rFonts w:ascii="Times New Roman" w:hAnsi="Times New Roman" w:cs="Times New Roman"/>
                <w:sz w:val="20"/>
                <w:szCs w:val="20"/>
              </w:rPr>
              <w:t>17</w:t>
            </w:r>
          </w:p>
        </w:tc>
        <w:tc>
          <w:tcPr>
            <w:tcW w:w="2772" w:type="dxa"/>
            <w:shd w:val="clear" w:color="auto" w:fill="auto"/>
          </w:tcPr>
          <w:p w14:paraId="3B822F4C" w14:textId="77777777" w:rsidR="00892974" w:rsidRPr="00940E46" w:rsidRDefault="003D0DC7" w:rsidP="003D0D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40E46">
              <w:rPr>
                <w:rFonts w:ascii="Times New Roman" w:hAnsi="Times New Roman" w:cs="Times New Roman"/>
                <w:sz w:val="20"/>
                <w:szCs w:val="20"/>
              </w:rPr>
              <w:t>100%</w:t>
            </w:r>
          </w:p>
        </w:tc>
      </w:tr>
      <w:tr w:rsidR="00940E46" w:rsidRPr="00940E46" w14:paraId="40C61206" w14:textId="77777777" w:rsidTr="00992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7428EED5" w14:textId="77777777" w:rsidR="00892974" w:rsidRPr="00940E46" w:rsidRDefault="00892974" w:rsidP="00236DB6">
            <w:pPr>
              <w:jc w:val="both"/>
              <w:rPr>
                <w:rFonts w:ascii="Times New Roman" w:hAnsi="Times New Roman" w:cs="Times New Roman"/>
                <w:sz w:val="20"/>
                <w:szCs w:val="20"/>
              </w:rPr>
            </w:pPr>
            <w:r w:rsidRPr="00940E46">
              <w:rPr>
                <w:rFonts w:ascii="Times New Roman" w:hAnsi="Times New Roman" w:cs="Times New Roman"/>
                <w:sz w:val="20"/>
                <w:szCs w:val="20"/>
              </w:rPr>
              <w:t>Wskaźnik LCR</w:t>
            </w:r>
          </w:p>
        </w:tc>
        <w:tc>
          <w:tcPr>
            <w:tcW w:w="1990" w:type="dxa"/>
            <w:shd w:val="clear" w:color="auto" w:fill="auto"/>
          </w:tcPr>
          <w:p w14:paraId="615F5BCF" w14:textId="2B39B4AC" w:rsidR="00892974" w:rsidRPr="00940E46" w:rsidRDefault="00C73BE3" w:rsidP="00857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40E46">
              <w:rPr>
                <w:rFonts w:ascii="Times New Roman" w:hAnsi="Times New Roman" w:cs="Times New Roman"/>
                <w:sz w:val="20"/>
                <w:szCs w:val="20"/>
              </w:rPr>
              <w:t>2</w:t>
            </w:r>
            <w:r w:rsidR="00857297" w:rsidRPr="00940E46">
              <w:rPr>
                <w:rFonts w:ascii="Times New Roman" w:hAnsi="Times New Roman" w:cs="Times New Roman"/>
                <w:sz w:val="20"/>
                <w:szCs w:val="20"/>
              </w:rPr>
              <w:t>,</w:t>
            </w:r>
            <w:r w:rsidR="00940E46" w:rsidRPr="00940E46">
              <w:rPr>
                <w:rFonts w:ascii="Times New Roman" w:hAnsi="Times New Roman" w:cs="Times New Roman"/>
                <w:sz w:val="20"/>
                <w:szCs w:val="20"/>
              </w:rPr>
              <w:t>61</w:t>
            </w:r>
          </w:p>
        </w:tc>
        <w:tc>
          <w:tcPr>
            <w:tcW w:w="2772" w:type="dxa"/>
            <w:shd w:val="clear" w:color="auto" w:fill="auto"/>
          </w:tcPr>
          <w:p w14:paraId="22520CE9" w14:textId="0305CDDA" w:rsidR="00892974" w:rsidRPr="00940E46" w:rsidRDefault="00C73BE3" w:rsidP="003D0DC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40E46">
              <w:rPr>
                <w:rFonts w:ascii="Times New Roman" w:hAnsi="Times New Roman" w:cs="Times New Roman"/>
                <w:sz w:val="20"/>
                <w:szCs w:val="20"/>
              </w:rPr>
              <w:t>0</w:t>
            </w:r>
            <w:r w:rsidR="003D0DC7" w:rsidRPr="00940E46">
              <w:rPr>
                <w:rFonts w:ascii="Times New Roman" w:hAnsi="Times New Roman" w:cs="Times New Roman"/>
                <w:sz w:val="20"/>
                <w:szCs w:val="20"/>
              </w:rPr>
              <w:t>%</w:t>
            </w:r>
          </w:p>
        </w:tc>
      </w:tr>
    </w:tbl>
    <w:p w14:paraId="09AE3FAF" w14:textId="77777777" w:rsidR="00C71F4F" w:rsidRPr="00940E46" w:rsidRDefault="00C71F4F" w:rsidP="00236DB6">
      <w:pPr>
        <w:spacing w:after="0" w:line="240" w:lineRule="auto"/>
        <w:jc w:val="both"/>
        <w:rPr>
          <w:rFonts w:ascii="Times New Roman" w:hAnsi="Times New Roman" w:cs="Times New Roman"/>
          <w:sz w:val="24"/>
          <w:szCs w:val="24"/>
        </w:rPr>
      </w:pPr>
    </w:p>
    <w:p w14:paraId="7CCDC555" w14:textId="77777777" w:rsidR="008B7991" w:rsidRPr="00940E46" w:rsidRDefault="008B7991" w:rsidP="007B498B">
      <w:pPr>
        <w:spacing w:after="0" w:line="240" w:lineRule="auto"/>
        <w:jc w:val="both"/>
        <w:rPr>
          <w:rFonts w:ascii="Times New Roman" w:hAnsi="Times New Roman" w:cs="Times New Roman"/>
          <w:sz w:val="24"/>
          <w:szCs w:val="24"/>
        </w:rPr>
      </w:pPr>
      <w:r w:rsidRPr="00940E46">
        <w:rPr>
          <w:rFonts w:ascii="Times New Roman" w:hAnsi="Times New Roman" w:cs="Times New Roman"/>
          <w:sz w:val="24"/>
          <w:szCs w:val="24"/>
        </w:rPr>
        <w:t>Wielkości charakterystyczne dla wskaźnika LCR na koniec czterech ostatnich kwartałów roku:</w:t>
      </w:r>
    </w:p>
    <w:p w14:paraId="7D1846E2" w14:textId="77777777" w:rsidR="008B7991" w:rsidRPr="00ED417D" w:rsidRDefault="008B7991" w:rsidP="007B498B">
      <w:pPr>
        <w:spacing w:after="0" w:line="240" w:lineRule="auto"/>
        <w:jc w:val="both"/>
        <w:rPr>
          <w:rFonts w:ascii="Times New Roman" w:hAnsi="Times New Roman" w:cs="Times New Roman"/>
          <w:color w:val="FF0000"/>
          <w:sz w:val="24"/>
          <w:szCs w:val="24"/>
        </w:rPr>
      </w:pPr>
    </w:p>
    <w:tbl>
      <w:tblPr>
        <w:tblStyle w:val="Jasnasiatk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1767"/>
        <w:gridCol w:w="1982"/>
        <w:gridCol w:w="1461"/>
        <w:gridCol w:w="1365"/>
      </w:tblGrid>
      <w:tr w:rsidR="00ED417D" w:rsidRPr="00ED417D" w14:paraId="16CBC3BF" w14:textId="77777777" w:rsidTr="00FA4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shd w:val="clear" w:color="auto" w:fill="D9D9D9" w:themeFill="background1" w:themeFillShade="D9"/>
          </w:tcPr>
          <w:p w14:paraId="276459CB" w14:textId="77777777" w:rsidR="008B7991" w:rsidRPr="00134569" w:rsidRDefault="008B7991" w:rsidP="008B7991">
            <w:pPr>
              <w:jc w:val="center"/>
              <w:rPr>
                <w:rFonts w:ascii="Times New Roman" w:hAnsi="Times New Roman" w:cs="Times New Roman"/>
                <w:i/>
                <w:sz w:val="20"/>
                <w:szCs w:val="20"/>
              </w:rPr>
            </w:pPr>
            <w:r w:rsidRPr="00134569">
              <w:rPr>
                <w:rFonts w:ascii="Times New Roman" w:hAnsi="Times New Roman" w:cs="Times New Roman"/>
                <w:i/>
                <w:sz w:val="20"/>
                <w:szCs w:val="20"/>
              </w:rPr>
              <w:t>Nazwa wielkości</w:t>
            </w:r>
          </w:p>
        </w:tc>
        <w:tc>
          <w:tcPr>
            <w:tcW w:w="976" w:type="pct"/>
            <w:shd w:val="clear" w:color="auto" w:fill="D9D9D9" w:themeFill="background1" w:themeFillShade="D9"/>
          </w:tcPr>
          <w:p w14:paraId="4FD586CE" w14:textId="77777777" w:rsidR="008B7991" w:rsidRPr="00134569" w:rsidRDefault="008B7991" w:rsidP="008B7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34569">
              <w:rPr>
                <w:rFonts w:ascii="Times New Roman" w:hAnsi="Times New Roman" w:cs="Times New Roman"/>
                <w:i/>
                <w:sz w:val="20"/>
                <w:szCs w:val="20"/>
              </w:rPr>
              <w:t>Kwartał poprzedni (n-3)</w:t>
            </w:r>
          </w:p>
        </w:tc>
        <w:tc>
          <w:tcPr>
            <w:tcW w:w="1095" w:type="pct"/>
            <w:shd w:val="clear" w:color="auto" w:fill="D9D9D9" w:themeFill="background1" w:themeFillShade="D9"/>
          </w:tcPr>
          <w:p w14:paraId="4DA1604E" w14:textId="77777777" w:rsidR="008B7991" w:rsidRPr="00134569" w:rsidRDefault="008B7991" w:rsidP="008B7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34569">
              <w:rPr>
                <w:rFonts w:ascii="Times New Roman" w:hAnsi="Times New Roman" w:cs="Times New Roman"/>
                <w:i/>
                <w:sz w:val="20"/>
                <w:szCs w:val="20"/>
              </w:rPr>
              <w:t>Kwartał poprzedni (n-2)</w:t>
            </w:r>
          </w:p>
        </w:tc>
        <w:tc>
          <w:tcPr>
            <w:tcW w:w="807" w:type="pct"/>
            <w:shd w:val="clear" w:color="auto" w:fill="D9D9D9" w:themeFill="background1" w:themeFillShade="D9"/>
          </w:tcPr>
          <w:p w14:paraId="42F87783" w14:textId="77777777" w:rsidR="008B7991" w:rsidRPr="00134569" w:rsidRDefault="008B7991" w:rsidP="008B7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34569">
              <w:rPr>
                <w:rFonts w:ascii="Times New Roman" w:hAnsi="Times New Roman" w:cs="Times New Roman"/>
                <w:i/>
                <w:sz w:val="20"/>
                <w:szCs w:val="20"/>
              </w:rPr>
              <w:t>Kwartał (n-1)</w:t>
            </w:r>
          </w:p>
        </w:tc>
        <w:tc>
          <w:tcPr>
            <w:tcW w:w="754" w:type="pct"/>
            <w:shd w:val="clear" w:color="auto" w:fill="D9D9D9" w:themeFill="background1" w:themeFillShade="D9"/>
          </w:tcPr>
          <w:p w14:paraId="510DBB00" w14:textId="77777777" w:rsidR="008B7991" w:rsidRPr="00134569" w:rsidRDefault="008B7991" w:rsidP="008B7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34569">
              <w:rPr>
                <w:rFonts w:ascii="Times New Roman" w:hAnsi="Times New Roman" w:cs="Times New Roman"/>
                <w:i/>
                <w:sz w:val="20"/>
                <w:szCs w:val="20"/>
              </w:rPr>
              <w:t>Kwartał kończący rok (n)</w:t>
            </w:r>
          </w:p>
        </w:tc>
      </w:tr>
      <w:tr w:rsidR="00ED417D" w:rsidRPr="00ED417D" w14:paraId="73184ABC" w14:textId="77777777" w:rsidTr="00F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shd w:val="clear" w:color="auto" w:fill="auto"/>
          </w:tcPr>
          <w:p w14:paraId="22213A93" w14:textId="77777777" w:rsidR="008B7991" w:rsidRPr="00134569" w:rsidRDefault="008B7991" w:rsidP="008B7991">
            <w:pPr>
              <w:rPr>
                <w:rFonts w:ascii="Times New Roman" w:hAnsi="Times New Roman" w:cs="Times New Roman"/>
                <w:b w:val="0"/>
                <w:sz w:val="20"/>
                <w:szCs w:val="20"/>
              </w:rPr>
            </w:pPr>
            <w:r w:rsidRPr="00134569">
              <w:rPr>
                <w:rFonts w:ascii="Times New Roman" w:hAnsi="Times New Roman" w:cs="Times New Roman"/>
                <w:b w:val="0"/>
                <w:sz w:val="20"/>
                <w:szCs w:val="20"/>
              </w:rPr>
              <w:t>Zabezpieczenie przed utratą płynności</w:t>
            </w:r>
          </w:p>
        </w:tc>
        <w:tc>
          <w:tcPr>
            <w:tcW w:w="976" w:type="pct"/>
            <w:shd w:val="clear" w:color="auto" w:fill="auto"/>
          </w:tcPr>
          <w:p w14:paraId="6FD0D81D" w14:textId="608EA72E" w:rsidR="008B7991" w:rsidRPr="001B624C" w:rsidRDefault="001B624C" w:rsidP="00FA4F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15 676,65</w:t>
            </w:r>
          </w:p>
        </w:tc>
        <w:tc>
          <w:tcPr>
            <w:tcW w:w="1095" w:type="pct"/>
            <w:shd w:val="clear" w:color="auto" w:fill="auto"/>
          </w:tcPr>
          <w:p w14:paraId="39FFD203" w14:textId="7AA3AAC4" w:rsidR="008B7991" w:rsidRPr="001B624C" w:rsidRDefault="00FA4F77" w:rsidP="00C73BE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2</w:t>
            </w:r>
            <w:r w:rsidR="001B624C" w:rsidRPr="001B624C">
              <w:rPr>
                <w:rFonts w:ascii="Times New Roman" w:hAnsi="Times New Roman" w:cs="Times New Roman"/>
                <w:sz w:val="20"/>
                <w:szCs w:val="20"/>
              </w:rPr>
              <w:t>6 275,96</w:t>
            </w:r>
          </w:p>
        </w:tc>
        <w:tc>
          <w:tcPr>
            <w:tcW w:w="807" w:type="pct"/>
            <w:shd w:val="clear" w:color="auto" w:fill="auto"/>
          </w:tcPr>
          <w:p w14:paraId="26289223" w14:textId="19203672" w:rsidR="008B7991" w:rsidRPr="00ED417D" w:rsidRDefault="00134569" w:rsidP="00110A9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134569">
              <w:rPr>
                <w:rFonts w:ascii="Times New Roman" w:hAnsi="Times New Roman" w:cs="Times New Roman"/>
                <w:sz w:val="20"/>
                <w:szCs w:val="20"/>
              </w:rPr>
              <w:t>23 445,61</w:t>
            </w:r>
            <w:r w:rsidR="00110A9A" w:rsidRPr="00134569">
              <w:rPr>
                <w:rFonts w:ascii="Times New Roman" w:hAnsi="Times New Roman" w:cs="Times New Roman"/>
                <w:sz w:val="20"/>
                <w:szCs w:val="20"/>
              </w:rPr>
              <w:t xml:space="preserve"> </w:t>
            </w:r>
          </w:p>
        </w:tc>
        <w:tc>
          <w:tcPr>
            <w:tcW w:w="754" w:type="pct"/>
            <w:shd w:val="clear" w:color="auto" w:fill="auto"/>
          </w:tcPr>
          <w:p w14:paraId="7D7B0268" w14:textId="51AC8DAE" w:rsidR="008B7991" w:rsidRPr="00260007" w:rsidRDefault="00260007" w:rsidP="00110A9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60007">
              <w:rPr>
                <w:rFonts w:ascii="Times New Roman" w:hAnsi="Times New Roman" w:cs="Times New Roman"/>
                <w:sz w:val="20"/>
                <w:szCs w:val="20"/>
              </w:rPr>
              <w:t>29 577,80</w:t>
            </w:r>
          </w:p>
        </w:tc>
      </w:tr>
      <w:tr w:rsidR="00ED417D" w:rsidRPr="00ED417D" w14:paraId="2F762752" w14:textId="77777777" w:rsidTr="00FA4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shd w:val="clear" w:color="auto" w:fill="auto"/>
          </w:tcPr>
          <w:p w14:paraId="05F8115A" w14:textId="77777777" w:rsidR="008B7991" w:rsidRPr="00134569" w:rsidRDefault="008B7991" w:rsidP="008B7991">
            <w:pPr>
              <w:rPr>
                <w:rFonts w:ascii="Times New Roman" w:hAnsi="Times New Roman" w:cs="Times New Roman"/>
                <w:b w:val="0"/>
                <w:sz w:val="20"/>
                <w:szCs w:val="20"/>
              </w:rPr>
            </w:pPr>
            <w:r w:rsidRPr="00134569">
              <w:rPr>
                <w:rFonts w:ascii="Times New Roman" w:hAnsi="Times New Roman" w:cs="Times New Roman"/>
                <w:b w:val="0"/>
                <w:sz w:val="20"/>
                <w:szCs w:val="20"/>
              </w:rPr>
              <w:t>Wypływy środków pieniężnych netto</w:t>
            </w:r>
          </w:p>
        </w:tc>
        <w:tc>
          <w:tcPr>
            <w:tcW w:w="976" w:type="pct"/>
            <w:shd w:val="clear" w:color="auto" w:fill="auto"/>
          </w:tcPr>
          <w:p w14:paraId="18BE5156" w14:textId="4F7F06D8" w:rsidR="008B7991" w:rsidRPr="001B624C" w:rsidRDefault="00FA4F77" w:rsidP="00FA4F77">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7</w:t>
            </w:r>
            <w:r w:rsidR="001B624C" w:rsidRPr="001B624C">
              <w:rPr>
                <w:rFonts w:ascii="Times New Roman" w:hAnsi="Times New Roman" w:cs="Times New Roman"/>
                <w:sz w:val="20"/>
                <w:szCs w:val="20"/>
              </w:rPr>
              <w:t> 841,41</w:t>
            </w:r>
          </w:p>
        </w:tc>
        <w:tc>
          <w:tcPr>
            <w:tcW w:w="1095" w:type="pct"/>
            <w:shd w:val="clear" w:color="auto" w:fill="auto"/>
          </w:tcPr>
          <w:p w14:paraId="58430717" w14:textId="42687AC3" w:rsidR="008B7991" w:rsidRPr="001B624C" w:rsidRDefault="001B624C" w:rsidP="001B624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9 019,85</w:t>
            </w:r>
          </w:p>
        </w:tc>
        <w:tc>
          <w:tcPr>
            <w:tcW w:w="807" w:type="pct"/>
            <w:shd w:val="clear" w:color="auto" w:fill="auto"/>
          </w:tcPr>
          <w:p w14:paraId="1E73D5B3" w14:textId="02DFBC6D" w:rsidR="008B7991" w:rsidRPr="00ED417D" w:rsidRDefault="00134569" w:rsidP="00110A9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20"/>
                <w:szCs w:val="20"/>
              </w:rPr>
            </w:pPr>
            <w:r w:rsidRPr="00134569">
              <w:rPr>
                <w:rFonts w:ascii="Times New Roman" w:hAnsi="Times New Roman" w:cs="Times New Roman"/>
                <w:sz w:val="20"/>
                <w:szCs w:val="20"/>
              </w:rPr>
              <w:t>8 942,94</w:t>
            </w:r>
          </w:p>
        </w:tc>
        <w:tc>
          <w:tcPr>
            <w:tcW w:w="754" w:type="pct"/>
            <w:shd w:val="clear" w:color="auto" w:fill="auto"/>
          </w:tcPr>
          <w:p w14:paraId="5CD9ED6C" w14:textId="18299645" w:rsidR="008B7991" w:rsidRPr="00ED417D" w:rsidRDefault="00260007" w:rsidP="00110A9A">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20"/>
                <w:szCs w:val="20"/>
              </w:rPr>
            </w:pPr>
            <w:r w:rsidRPr="00260007">
              <w:rPr>
                <w:rFonts w:ascii="Times New Roman" w:hAnsi="Times New Roman" w:cs="Times New Roman"/>
                <w:sz w:val="20"/>
                <w:szCs w:val="20"/>
              </w:rPr>
              <w:t>11 327,94</w:t>
            </w:r>
          </w:p>
        </w:tc>
      </w:tr>
      <w:tr w:rsidR="00ED417D" w:rsidRPr="00ED417D" w14:paraId="499A36C9" w14:textId="77777777" w:rsidTr="00F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pct"/>
            <w:shd w:val="clear" w:color="auto" w:fill="auto"/>
          </w:tcPr>
          <w:p w14:paraId="62CF3B85" w14:textId="77777777" w:rsidR="008B7991" w:rsidRPr="00134569" w:rsidRDefault="008B7991" w:rsidP="008B7991">
            <w:pPr>
              <w:rPr>
                <w:rFonts w:ascii="Times New Roman" w:hAnsi="Times New Roman" w:cs="Times New Roman"/>
                <w:b w:val="0"/>
                <w:sz w:val="20"/>
                <w:szCs w:val="20"/>
              </w:rPr>
            </w:pPr>
            <w:r w:rsidRPr="00134569">
              <w:rPr>
                <w:rFonts w:ascii="Times New Roman" w:hAnsi="Times New Roman" w:cs="Times New Roman"/>
                <w:b w:val="0"/>
                <w:sz w:val="20"/>
                <w:szCs w:val="20"/>
              </w:rPr>
              <w:t>Wskaźnik pokrycia wypływów netto</w:t>
            </w:r>
          </w:p>
        </w:tc>
        <w:tc>
          <w:tcPr>
            <w:tcW w:w="976" w:type="pct"/>
            <w:shd w:val="clear" w:color="auto" w:fill="auto"/>
          </w:tcPr>
          <w:p w14:paraId="432B4923" w14:textId="62E6DFCF" w:rsidR="008B7991" w:rsidRPr="001B624C" w:rsidRDefault="001B624C" w:rsidP="00FA4F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2,00</w:t>
            </w:r>
          </w:p>
        </w:tc>
        <w:tc>
          <w:tcPr>
            <w:tcW w:w="1095" w:type="pct"/>
            <w:shd w:val="clear" w:color="auto" w:fill="auto"/>
          </w:tcPr>
          <w:p w14:paraId="6EA1AC2A" w14:textId="2C141944" w:rsidR="008B7991" w:rsidRPr="001B624C" w:rsidRDefault="00FA4F77" w:rsidP="00C73BE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2</w:t>
            </w:r>
            <w:r w:rsidR="00C73BE3" w:rsidRPr="001B624C">
              <w:rPr>
                <w:rFonts w:ascii="Times New Roman" w:hAnsi="Times New Roman" w:cs="Times New Roman"/>
                <w:sz w:val="20"/>
                <w:szCs w:val="20"/>
              </w:rPr>
              <w:t>,</w:t>
            </w:r>
            <w:r w:rsidR="001B624C" w:rsidRPr="001B624C">
              <w:rPr>
                <w:rFonts w:ascii="Times New Roman" w:hAnsi="Times New Roman" w:cs="Times New Roman"/>
                <w:sz w:val="20"/>
                <w:szCs w:val="20"/>
              </w:rPr>
              <w:t>91</w:t>
            </w:r>
          </w:p>
        </w:tc>
        <w:tc>
          <w:tcPr>
            <w:tcW w:w="807" w:type="pct"/>
            <w:shd w:val="clear" w:color="auto" w:fill="auto"/>
          </w:tcPr>
          <w:p w14:paraId="4B56A90A" w14:textId="11835B7F" w:rsidR="008B7991" w:rsidRPr="001B624C" w:rsidRDefault="00C73BE3" w:rsidP="00110A9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2</w:t>
            </w:r>
            <w:r w:rsidR="00110A9A" w:rsidRPr="001B624C">
              <w:rPr>
                <w:rFonts w:ascii="Times New Roman" w:hAnsi="Times New Roman" w:cs="Times New Roman"/>
                <w:sz w:val="20"/>
                <w:szCs w:val="20"/>
              </w:rPr>
              <w:t>,</w:t>
            </w:r>
            <w:r w:rsidR="001B624C" w:rsidRPr="001B624C">
              <w:rPr>
                <w:rFonts w:ascii="Times New Roman" w:hAnsi="Times New Roman" w:cs="Times New Roman"/>
                <w:sz w:val="20"/>
                <w:szCs w:val="20"/>
              </w:rPr>
              <w:t>73</w:t>
            </w:r>
          </w:p>
        </w:tc>
        <w:tc>
          <w:tcPr>
            <w:tcW w:w="754" w:type="pct"/>
            <w:shd w:val="clear" w:color="auto" w:fill="auto"/>
          </w:tcPr>
          <w:p w14:paraId="569FC01F" w14:textId="5258F923" w:rsidR="008B7991" w:rsidRPr="001B624C" w:rsidRDefault="00C73BE3" w:rsidP="00110A9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B624C">
              <w:rPr>
                <w:rFonts w:ascii="Times New Roman" w:hAnsi="Times New Roman" w:cs="Times New Roman"/>
                <w:sz w:val="20"/>
                <w:szCs w:val="20"/>
              </w:rPr>
              <w:t>2</w:t>
            </w:r>
            <w:r w:rsidR="00110A9A" w:rsidRPr="001B624C">
              <w:rPr>
                <w:rFonts w:ascii="Times New Roman" w:hAnsi="Times New Roman" w:cs="Times New Roman"/>
                <w:sz w:val="20"/>
                <w:szCs w:val="20"/>
              </w:rPr>
              <w:t>,</w:t>
            </w:r>
            <w:r w:rsidR="00260007" w:rsidRPr="001B624C">
              <w:rPr>
                <w:rFonts w:ascii="Times New Roman" w:hAnsi="Times New Roman" w:cs="Times New Roman"/>
                <w:sz w:val="20"/>
                <w:szCs w:val="20"/>
              </w:rPr>
              <w:t>61</w:t>
            </w:r>
          </w:p>
        </w:tc>
      </w:tr>
    </w:tbl>
    <w:p w14:paraId="3C348879" w14:textId="77777777" w:rsidR="008B7991" w:rsidRPr="00ED417D" w:rsidRDefault="008B7991" w:rsidP="007B498B">
      <w:pPr>
        <w:spacing w:after="0" w:line="240" w:lineRule="auto"/>
        <w:jc w:val="both"/>
        <w:rPr>
          <w:rFonts w:ascii="Times New Roman" w:hAnsi="Times New Roman" w:cs="Times New Roman"/>
          <w:color w:val="FF0000"/>
          <w:sz w:val="24"/>
          <w:szCs w:val="24"/>
        </w:rPr>
      </w:pPr>
    </w:p>
    <w:p w14:paraId="4664606D" w14:textId="77777777" w:rsidR="00C71F4F" w:rsidRPr="001B624C" w:rsidRDefault="00C71F4F" w:rsidP="007B498B">
      <w:pPr>
        <w:spacing w:after="0" w:line="240" w:lineRule="auto"/>
        <w:jc w:val="both"/>
        <w:rPr>
          <w:rFonts w:ascii="Times New Roman" w:hAnsi="Times New Roman" w:cs="Times New Roman"/>
          <w:sz w:val="24"/>
          <w:szCs w:val="24"/>
        </w:rPr>
      </w:pPr>
      <w:r w:rsidRPr="001B624C">
        <w:rPr>
          <w:rFonts w:ascii="Times New Roman" w:hAnsi="Times New Roman" w:cs="Times New Roman"/>
          <w:sz w:val="24"/>
          <w:szCs w:val="24"/>
        </w:rPr>
        <w:t xml:space="preserve">Urealniona luka płynności dla pierwszych trzech przedziałów z uwzględnieniem pozycji bilansowych i pozabilansowych oraz skumulowane luki płynności </w:t>
      </w:r>
      <w:r w:rsidR="007B498B" w:rsidRPr="001B624C">
        <w:rPr>
          <w:rFonts w:ascii="Times New Roman" w:hAnsi="Times New Roman" w:cs="Times New Roman"/>
          <w:sz w:val="24"/>
          <w:szCs w:val="24"/>
        </w:rPr>
        <w:t>przedstawiają się następująco:</w:t>
      </w:r>
    </w:p>
    <w:p w14:paraId="13D4009B" w14:textId="77777777" w:rsidR="00873755" w:rsidRPr="001B624C" w:rsidRDefault="00873755" w:rsidP="007B498B">
      <w:pPr>
        <w:spacing w:after="0" w:line="240" w:lineRule="auto"/>
        <w:jc w:val="both"/>
        <w:rPr>
          <w:rFonts w:ascii="Times New Roman" w:hAnsi="Times New Roman" w:cs="Times New Roman"/>
          <w:b/>
          <w:i/>
          <w:sz w:val="24"/>
          <w:szCs w:val="24"/>
        </w:rPr>
      </w:pPr>
    </w:p>
    <w:tbl>
      <w:tblPr>
        <w:tblStyle w:val="Jasnasiatka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37"/>
        <w:gridCol w:w="1937"/>
        <w:gridCol w:w="1938"/>
      </w:tblGrid>
      <w:tr w:rsidR="001B624C" w:rsidRPr="001B624C" w14:paraId="630CC037" w14:textId="77777777" w:rsidTr="00014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D9D9D9" w:themeFill="background1" w:themeFillShade="D9"/>
          </w:tcPr>
          <w:p w14:paraId="4727E6F7" w14:textId="77777777" w:rsidR="002F3170" w:rsidRPr="001B624C" w:rsidRDefault="002F3170" w:rsidP="00236DB6">
            <w:pPr>
              <w:jc w:val="center"/>
              <w:rPr>
                <w:rFonts w:ascii="Times New Roman" w:hAnsi="Times New Roman" w:cs="Times New Roman"/>
                <w:i/>
                <w:sz w:val="20"/>
                <w:szCs w:val="20"/>
              </w:rPr>
            </w:pPr>
            <w:r w:rsidRPr="001B624C">
              <w:rPr>
                <w:rFonts w:ascii="Times New Roman" w:hAnsi="Times New Roman" w:cs="Times New Roman"/>
                <w:i/>
                <w:sz w:val="20"/>
                <w:szCs w:val="20"/>
              </w:rPr>
              <w:t>Przedział płynności</w:t>
            </w:r>
          </w:p>
        </w:tc>
        <w:tc>
          <w:tcPr>
            <w:tcW w:w="1937" w:type="dxa"/>
            <w:shd w:val="clear" w:color="auto" w:fill="D9D9D9" w:themeFill="background1" w:themeFillShade="D9"/>
          </w:tcPr>
          <w:p w14:paraId="60D47575" w14:textId="77777777" w:rsidR="002F3170" w:rsidRPr="001B624C" w:rsidRDefault="002F3170" w:rsidP="00236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B624C">
              <w:rPr>
                <w:rFonts w:ascii="Times New Roman" w:hAnsi="Times New Roman" w:cs="Times New Roman"/>
                <w:i/>
                <w:sz w:val="20"/>
                <w:szCs w:val="20"/>
              </w:rPr>
              <w:t>do 1 miesiąca</w:t>
            </w:r>
          </w:p>
        </w:tc>
        <w:tc>
          <w:tcPr>
            <w:tcW w:w="1937" w:type="dxa"/>
            <w:shd w:val="clear" w:color="auto" w:fill="D9D9D9" w:themeFill="background1" w:themeFillShade="D9"/>
          </w:tcPr>
          <w:p w14:paraId="51AB00A4" w14:textId="77777777" w:rsidR="002F3170" w:rsidRPr="001B624C" w:rsidRDefault="002F3170" w:rsidP="00236D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B624C">
              <w:rPr>
                <w:rFonts w:ascii="Times New Roman" w:hAnsi="Times New Roman" w:cs="Times New Roman"/>
                <w:i/>
                <w:sz w:val="20"/>
                <w:szCs w:val="20"/>
              </w:rPr>
              <w:t>od 1 do 3 miesięcy</w:t>
            </w:r>
          </w:p>
        </w:tc>
        <w:tc>
          <w:tcPr>
            <w:tcW w:w="1938" w:type="dxa"/>
            <w:shd w:val="clear" w:color="auto" w:fill="D9D9D9" w:themeFill="background1" w:themeFillShade="D9"/>
          </w:tcPr>
          <w:p w14:paraId="28446613" w14:textId="77777777" w:rsidR="002F3170" w:rsidRPr="001B624C" w:rsidRDefault="002F3170" w:rsidP="005A3F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B624C">
              <w:rPr>
                <w:rFonts w:ascii="Times New Roman" w:hAnsi="Times New Roman" w:cs="Times New Roman"/>
                <w:i/>
                <w:sz w:val="20"/>
                <w:szCs w:val="20"/>
              </w:rPr>
              <w:t>od 3 do 6 miesięcy</w:t>
            </w:r>
          </w:p>
        </w:tc>
      </w:tr>
      <w:tr w:rsidR="00ED417D" w:rsidRPr="00ED417D" w14:paraId="3FCD2996" w14:textId="77777777" w:rsidTr="002F3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555BBB2F" w14:textId="77777777" w:rsidR="002F3170" w:rsidRPr="00263781" w:rsidRDefault="002F3170" w:rsidP="00236DB6">
            <w:pPr>
              <w:rPr>
                <w:rFonts w:ascii="Times New Roman" w:hAnsi="Times New Roman" w:cs="Times New Roman"/>
                <w:sz w:val="20"/>
                <w:szCs w:val="20"/>
              </w:rPr>
            </w:pPr>
            <w:r w:rsidRPr="00263781">
              <w:rPr>
                <w:rFonts w:ascii="Times New Roman" w:hAnsi="Times New Roman" w:cs="Times New Roman"/>
                <w:b w:val="0"/>
                <w:sz w:val="20"/>
                <w:szCs w:val="20"/>
              </w:rPr>
              <w:t>Luka prosta (z pozabilansem)</w:t>
            </w:r>
          </w:p>
        </w:tc>
        <w:tc>
          <w:tcPr>
            <w:tcW w:w="1937" w:type="dxa"/>
            <w:shd w:val="clear" w:color="auto" w:fill="auto"/>
          </w:tcPr>
          <w:p w14:paraId="3B28EF6A" w14:textId="380FEA30" w:rsidR="002F3170" w:rsidRPr="002E15E8" w:rsidRDefault="002E15E8" w:rsidP="001A2D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4 736,95</w:t>
            </w:r>
          </w:p>
        </w:tc>
        <w:tc>
          <w:tcPr>
            <w:tcW w:w="1937" w:type="dxa"/>
            <w:shd w:val="clear" w:color="auto" w:fill="auto"/>
          </w:tcPr>
          <w:p w14:paraId="2C757A38" w14:textId="3254E04F" w:rsidR="002F3170" w:rsidRPr="002E15E8" w:rsidRDefault="002E15E8" w:rsidP="001A2D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-763,72</w:t>
            </w:r>
          </w:p>
        </w:tc>
        <w:tc>
          <w:tcPr>
            <w:tcW w:w="1938" w:type="dxa"/>
            <w:shd w:val="clear" w:color="auto" w:fill="auto"/>
          </w:tcPr>
          <w:p w14:paraId="31DE7F7A" w14:textId="34A4EC2B" w:rsidR="002F3170" w:rsidRPr="002E15E8" w:rsidRDefault="002E15E8" w:rsidP="001A2D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-9,92</w:t>
            </w:r>
          </w:p>
        </w:tc>
      </w:tr>
      <w:tr w:rsidR="00ED417D" w:rsidRPr="00ED417D" w14:paraId="050CEA65" w14:textId="77777777" w:rsidTr="002F31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3CC13729" w14:textId="77777777" w:rsidR="002F3170" w:rsidRPr="00263781" w:rsidRDefault="002F3170" w:rsidP="00236DB6">
            <w:pPr>
              <w:rPr>
                <w:rFonts w:ascii="Times New Roman" w:hAnsi="Times New Roman" w:cs="Times New Roman"/>
                <w:sz w:val="20"/>
                <w:szCs w:val="20"/>
              </w:rPr>
            </w:pPr>
            <w:r w:rsidRPr="00263781">
              <w:rPr>
                <w:rFonts w:ascii="Times New Roman" w:hAnsi="Times New Roman" w:cs="Times New Roman"/>
                <w:b w:val="0"/>
                <w:sz w:val="20"/>
                <w:szCs w:val="20"/>
              </w:rPr>
              <w:t>Luka skumulowana(z pozabilansem)</w:t>
            </w:r>
          </w:p>
        </w:tc>
        <w:tc>
          <w:tcPr>
            <w:tcW w:w="1937" w:type="dxa"/>
            <w:shd w:val="clear" w:color="auto" w:fill="auto"/>
          </w:tcPr>
          <w:p w14:paraId="5B6DE74D" w14:textId="0C0A479E" w:rsidR="002F3170" w:rsidRPr="002E15E8" w:rsidRDefault="001A2DD1" w:rsidP="001A2DD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w:t>
            </w:r>
            <w:r w:rsidR="007401C9">
              <w:rPr>
                <w:rFonts w:ascii="Times New Roman" w:hAnsi="Times New Roman" w:cs="Times New Roman"/>
                <w:sz w:val="20"/>
                <w:szCs w:val="20"/>
              </w:rPr>
              <w:t>25 110,57</w:t>
            </w:r>
          </w:p>
        </w:tc>
        <w:tc>
          <w:tcPr>
            <w:tcW w:w="1937" w:type="dxa"/>
            <w:shd w:val="clear" w:color="auto" w:fill="auto"/>
          </w:tcPr>
          <w:p w14:paraId="224F52C9" w14:textId="48296654" w:rsidR="002F3170" w:rsidRPr="002E15E8" w:rsidRDefault="002E15E8" w:rsidP="001A2DD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3 973,21</w:t>
            </w:r>
          </w:p>
        </w:tc>
        <w:tc>
          <w:tcPr>
            <w:tcW w:w="1938" w:type="dxa"/>
            <w:shd w:val="clear" w:color="auto" w:fill="auto"/>
          </w:tcPr>
          <w:p w14:paraId="5827AC61" w14:textId="1436E108" w:rsidR="002F3170" w:rsidRPr="002E15E8" w:rsidRDefault="002E15E8" w:rsidP="001A2DD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E15E8">
              <w:rPr>
                <w:rFonts w:ascii="Times New Roman" w:hAnsi="Times New Roman" w:cs="Times New Roman"/>
                <w:sz w:val="20"/>
                <w:szCs w:val="20"/>
              </w:rPr>
              <w:t>3 967,30</w:t>
            </w:r>
          </w:p>
        </w:tc>
      </w:tr>
    </w:tbl>
    <w:p w14:paraId="5B88E068" w14:textId="77777777" w:rsidR="00C71F4F" w:rsidRPr="00ED417D" w:rsidRDefault="00C71F4F" w:rsidP="005264EC">
      <w:pPr>
        <w:spacing w:after="0" w:line="240" w:lineRule="auto"/>
        <w:jc w:val="both"/>
        <w:rPr>
          <w:rFonts w:ascii="Times New Roman" w:hAnsi="Times New Roman" w:cs="Times New Roman"/>
          <w:color w:val="FF0000"/>
          <w:sz w:val="24"/>
          <w:szCs w:val="24"/>
        </w:rPr>
      </w:pPr>
    </w:p>
    <w:p w14:paraId="2D15ED12" w14:textId="77777777" w:rsidR="00F022C4" w:rsidRPr="007401C9" w:rsidRDefault="00F022C4" w:rsidP="00FE7F42">
      <w:pPr>
        <w:spacing w:after="0" w:line="240" w:lineRule="auto"/>
        <w:jc w:val="both"/>
        <w:rPr>
          <w:rFonts w:ascii="Times New Roman" w:hAnsi="Times New Roman" w:cs="Times New Roman"/>
          <w:sz w:val="24"/>
          <w:szCs w:val="24"/>
        </w:rPr>
      </w:pPr>
      <w:r w:rsidRPr="007401C9">
        <w:rPr>
          <w:rFonts w:ascii="Times New Roman" w:hAnsi="Times New Roman" w:cs="Times New Roman"/>
          <w:sz w:val="24"/>
          <w:szCs w:val="24"/>
        </w:rPr>
        <w:t>Na datę sporządzania niniejszej informacji Bank posiadał możliwość skorzystania z następujących, dodatkowych źródeł finansowania:</w:t>
      </w:r>
      <w:r w:rsidR="0022501D" w:rsidRPr="007401C9">
        <w:rPr>
          <w:rFonts w:ascii="Times New Roman" w:hAnsi="Times New Roman" w:cs="Times New Roman"/>
          <w:sz w:val="24"/>
          <w:szCs w:val="24"/>
        </w:rPr>
        <w:t xml:space="preserve"> (wypisać z rejestru alternatywnych źródeł finansowania)</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560"/>
        <w:gridCol w:w="3118"/>
      </w:tblGrid>
      <w:tr w:rsidR="00ED417D" w:rsidRPr="00ED417D" w14:paraId="4114A56F" w14:textId="77777777" w:rsidTr="00C311A6">
        <w:trPr>
          <w:trHeight w:val="283"/>
        </w:trPr>
        <w:tc>
          <w:tcPr>
            <w:tcW w:w="4678" w:type="dxa"/>
            <w:shd w:val="clear" w:color="auto" w:fill="D9D9D9" w:themeFill="background1" w:themeFillShade="D9"/>
            <w:vAlign w:val="center"/>
          </w:tcPr>
          <w:p w14:paraId="22F682BF" w14:textId="77777777" w:rsidR="00C311A6" w:rsidRPr="00247EED" w:rsidRDefault="00C311A6" w:rsidP="00C311A6">
            <w:pPr>
              <w:tabs>
                <w:tab w:val="left" w:pos="0"/>
              </w:tabs>
              <w:spacing w:after="0" w:line="240" w:lineRule="auto"/>
              <w:ind w:left="34"/>
              <w:jc w:val="center"/>
              <w:rPr>
                <w:rFonts w:ascii="Times New Roman" w:hAnsi="Times New Roman"/>
                <w:b/>
                <w:i/>
                <w:sz w:val="20"/>
                <w:szCs w:val="20"/>
                <w:lang w:eastAsia="pl-PL"/>
              </w:rPr>
            </w:pPr>
            <w:r w:rsidRPr="00247EED">
              <w:rPr>
                <w:rFonts w:ascii="Times New Roman" w:hAnsi="Times New Roman"/>
                <w:b/>
                <w:i/>
                <w:sz w:val="20"/>
                <w:szCs w:val="20"/>
                <w:lang w:eastAsia="pl-PL"/>
              </w:rPr>
              <w:t>Rodzaj</w:t>
            </w:r>
          </w:p>
        </w:tc>
        <w:tc>
          <w:tcPr>
            <w:tcW w:w="1560" w:type="dxa"/>
            <w:shd w:val="clear" w:color="auto" w:fill="D9D9D9" w:themeFill="background1" w:themeFillShade="D9"/>
            <w:vAlign w:val="center"/>
          </w:tcPr>
          <w:p w14:paraId="6602A164" w14:textId="77777777" w:rsidR="00C311A6" w:rsidRPr="00247EED" w:rsidRDefault="00C311A6" w:rsidP="00C311A6">
            <w:pPr>
              <w:tabs>
                <w:tab w:val="left" w:pos="0"/>
                <w:tab w:val="left" w:pos="317"/>
              </w:tabs>
              <w:spacing w:after="0" w:line="240" w:lineRule="auto"/>
              <w:jc w:val="center"/>
              <w:rPr>
                <w:rFonts w:ascii="Times New Roman" w:hAnsi="Times New Roman"/>
                <w:b/>
                <w:i/>
                <w:sz w:val="20"/>
                <w:szCs w:val="20"/>
              </w:rPr>
            </w:pPr>
            <w:r w:rsidRPr="00247EED">
              <w:rPr>
                <w:rFonts w:ascii="Times New Roman" w:hAnsi="Times New Roman"/>
                <w:b/>
                <w:i/>
                <w:sz w:val="20"/>
                <w:szCs w:val="20"/>
              </w:rPr>
              <w:t>Kwota</w:t>
            </w:r>
          </w:p>
        </w:tc>
        <w:tc>
          <w:tcPr>
            <w:tcW w:w="3118" w:type="dxa"/>
            <w:shd w:val="clear" w:color="auto" w:fill="D9D9D9" w:themeFill="background1" w:themeFillShade="D9"/>
            <w:vAlign w:val="center"/>
          </w:tcPr>
          <w:p w14:paraId="0DF66886" w14:textId="77777777" w:rsidR="00C311A6" w:rsidRPr="00247EED" w:rsidRDefault="00C311A6" w:rsidP="00C311A6">
            <w:pPr>
              <w:spacing w:after="0" w:line="240" w:lineRule="auto"/>
              <w:jc w:val="center"/>
              <w:rPr>
                <w:rFonts w:ascii="Times New Roman" w:hAnsi="Times New Roman"/>
                <w:b/>
                <w:i/>
                <w:sz w:val="20"/>
                <w:szCs w:val="20"/>
                <w:lang w:eastAsia="pl-PL"/>
              </w:rPr>
            </w:pPr>
            <w:r w:rsidRPr="00247EED">
              <w:rPr>
                <w:rFonts w:ascii="Times New Roman" w:hAnsi="Times New Roman"/>
                <w:b/>
                <w:i/>
                <w:sz w:val="20"/>
                <w:szCs w:val="20"/>
                <w:lang w:eastAsia="pl-PL"/>
              </w:rPr>
              <w:t>Warunki dostępu</w:t>
            </w:r>
          </w:p>
        </w:tc>
      </w:tr>
      <w:tr w:rsidR="00ED417D" w:rsidRPr="00ED417D" w14:paraId="3B8D0426" w14:textId="77777777" w:rsidTr="00C311A6">
        <w:trPr>
          <w:trHeight w:val="283"/>
        </w:trPr>
        <w:tc>
          <w:tcPr>
            <w:tcW w:w="4678" w:type="dxa"/>
            <w:vAlign w:val="center"/>
          </w:tcPr>
          <w:p w14:paraId="501B7B79" w14:textId="77777777" w:rsidR="00C311A6" w:rsidRPr="00247EED" w:rsidRDefault="00C311A6" w:rsidP="005A3FFA">
            <w:pPr>
              <w:tabs>
                <w:tab w:val="left" w:pos="0"/>
              </w:tabs>
              <w:spacing w:after="0" w:line="240" w:lineRule="auto"/>
              <w:ind w:left="34"/>
              <w:rPr>
                <w:rFonts w:ascii="Times New Roman" w:hAnsi="Times New Roman"/>
                <w:sz w:val="20"/>
                <w:szCs w:val="20"/>
                <w:lang w:eastAsia="pl-PL"/>
              </w:rPr>
            </w:pPr>
            <w:r w:rsidRPr="00247EED">
              <w:rPr>
                <w:rFonts w:ascii="Times New Roman" w:hAnsi="Times New Roman"/>
                <w:sz w:val="20"/>
                <w:szCs w:val="20"/>
                <w:lang w:eastAsia="pl-PL"/>
              </w:rPr>
              <w:t>otwarte niewykorzystane limity kredytu w rachunku bieżącym w Banku Zrzeszającym</w:t>
            </w:r>
          </w:p>
        </w:tc>
        <w:tc>
          <w:tcPr>
            <w:tcW w:w="1560" w:type="dxa"/>
            <w:vAlign w:val="center"/>
          </w:tcPr>
          <w:p w14:paraId="495CBD3A" w14:textId="3241887E" w:rsidR="00C311A6" w:rsidRPr="00247EED" w:rsidRDefault="00B56DA2" w:rsidP="00C311A6">
            <w:pPr>
              <w:tabs>
                <w:tab w:val="left" w:pos="0"/>
                <w:tab w:val="left" w:pos="317"/>
              </w:tabs>
              <w:spacing w:after="0" w:line="240" w:lineRule="auto"/>
              <w:jc w:val="center"/>
              <w:rPr>
                <w:rFonts w:ascii="Times New Roman" w:hAnsi="Times New Roman"/>
                <w:sz w:val="20"/>
                <w:szCs w:val="20"/>
              </w:rPr>
            </w:pPr>
            <w:r w:rsidRPr="00247EED">
              <w:rPr>
                <w:rFonts w:ascii="Times New Roman" w:hAnsi="Times New Roman"/>
                <w:sz w:val="20"/>
                <w:szCs w:val="20"/>
              </w:rPr>
              <w:t xml:space="preserve">1 </w:t>
            </w:r>
            <w:r w:rsidR="00247EED" w:rsidRPr="00247EED">
              <w:rPr>
                <w:rFonts w:ascii="Times New Roman" w:hAnsi="Times New Roman"/>
                <w:sz w:val="20"/>
                <w:szCs w:val="20"/>
              </w:rPr>
              <w:t>820</w:t>
            </w:r>
          </w:p>
        </w:tc>
        <w:tc>
          <w:tcPr>
            <w:tcW w:w="3118" w:type="dxa"/>
            <w:vAlign w:val="center"/>
          </w:tcPr>
          <w:p w14:paraId="05D445F9" w14:textId="77777777" w:rsidR="00C311A6" w:rsidRPr="00247EED" w:rsidRDefault="00C311A6" w:rsidP="00C311A6">
            <w:pPr>
              <w:spacing w:after="0" w:line="240" w:lineRule="auto"/>
              <w:rPr>
                <w:rFonts w:ascii="Times New Roman" w:hAnsi="Times New Roman"/>
                <w:sz w:val="20"/>
                <w:szCs w:val="20"/>
                <w:lang w:eastAsia="pl-PL"/>
              </w:rPr>
            </w:pPr>
            <w:r w:rsidRPr="00247EED">
              <w:rPr>
                <w:rFonts w:ascii="Times New Roman" w:hAnsi="Times New Roman"/>
                <w:sz w:val="20"/>
                <w:szCs w:val="20"/>
                <w:lang w:eastAsia="pl-PL"/>
              </w:rPr>
              <w:t>w ciągu 1 dnia</w:t>
            </w:r>
          </w:p>
        </w:tc>
      </w:tr>
      <w:tr w:rsidR="00ED417D" w:rsidRPr="00ED417D" w14:paraId="32921C2A" w14:textId="77777777" w:rsidTr="00C311A6">
        <w:trPr>
          <w:trHeight w:val="283"/>
        </w:trPr>
        <w:tc>
          <w:tcPr>
            <w:tcW w:w="4678" w:type="dxa"/>
            <w:vAlign w:val="center"/>
          </w:tcPr>
          <w:p w14:paraId="2BE50377" w14:textId="50408819" w:rsidR="00C311A6" w:rsidRPr="00247EED" w:rsidRDefault="00247EED" w:rsidP="005A3FFA">
            <w:pPr>
              <w:tabs>
                <w:tab w:val="left" w:pos="0"/>
              </w:tabs>
              <w:spacing w:after="0" w:line="240" w:lineRule="auto"/>
              <w:ind w:left="34"/>
              <w:rPr>
                <w:rFonts w:ascii="Times New Roman" w:hAnsi="Times New Roman"/>
                <w:sz w:val="20"/>
                <w:szCs w:val="20"/>
                <w:lang w:eastAsia="pl-PL"/>
              </w:rPr>
            </w:pPr>
            <w:r w:rsidRPr="00247EED">
              <w:rPr>
                <w:rFonts w:ascii="Times New Roman" w:hAnsi="Times New Roman"/>
                <w:sz w:val="20"/>
                <w:szCs w:val="20"/>
                <w:lang w:eastAsia="pl-PL"/>
              </w:rPr>
              <w:t>Pomoc finansowa z Funduszu Zabezpieczającego</w:t>
            </w:r>
          </w:p>
        </w:tc>
        <w:tc>
          <w:tcPr>
            <w:tcW w:w="1560" w:type="dxa"/>
            <w:vAlign w:val="center"/>
          </w:tcPr>
          <w:p w14:paraId="0BC2C805" w14:textId="150C80CB" w:rsidR="00C311A6" w:rsidRPr="00247EED" w:rsidRDefault="00247EED" w:rsidP="00C311A6">
            <w:pPr>
              <w:spacing w:after="0" w:line="240" w:lineRule="auto"/>
              <w:jc w:val="center"/>
              <w:rPr>
                <w:rFonts w:ascii="Times New Roman" w:hAnsi="Times New Roman"/>
                <w:sz w:val="20"/>
                <w:szCs w:val="20"/>
                <w:lang w:eastAsia="pl-PL"/>
              </w:rPr>
            </w:pPr>
            <w:r w:rsidRPr="00247EED">
              <w:rPr>
                <w:rFonts w:ascii="Times New Roman" w:hAnsi="Times New Roman"/>
                <w:sz w:val="20"/>
                <w:szCs w:val="20"/>
                <w:lang w:eastAsia="pl-PL"/>
              </w:rPr>
              <w:t>95 310</w:t>
            </w:r>
          </w:p>
        </w:tc>
        <w:tc>
          <w:tcPr>
            <w:tcW w:w="3118" w:type="dxa"/>
            <w:vAlign w:val="center"/>
          </w:tcPr>
          <w:p w14:paraId="4A802ED9" w14:textId="77777777" w:rsidR="00C311A6" w:rsidRPr="00247EED" w:rsidRDefault="00C311A6" w:rsidP="00C311A6">
            <w:pPr>
              <w:spacing w:after="0" w:line="240" w:lineRule="auto"/>
              <w:rPr>
                <w:rFonts w:ascii="Times New Roman" w:hAnsi="Times New Roman"/>
                <w:sz w:val="20"/>
                <w:szCs w:val="20"/>
                <w:lang w:eastAsia="pl-PL"/>
              </w:rPr>
            </w:pPr>
            <w:r w:rsidRPr="00247EED">
              <w:rPr>
                <w:rFonts w:ascii="Times New Roman" w:hAnsi="Times New Roman"/>
                <w:sz w:val="20"/>
                <w:szCs w:val="20"/>
                <w:lang w:eastAsia="pl-PL"/>
              </w:rPr>
              <w:t>w sytuacji awaryjnej</w:t>
            </w:r>
          </w:p>
        </w:tc>
      </w:tr>
      <w:tr w:rsidR="00ED417D" w:rsidRPr="00ED417D" w14:paraId="523C8405" w14:textId="77777777" w:rsidTr="00C311A6">
        <w:trPr>
          <w:trHeight w:val="283"/>
        </w:trPr>
        <w:tc>
          <w:tcPr>
            <w:tcW w:w="4678" w:type="dxa"/>
            <w:vAlign w:val="center"/>
          </w:tcPr>
          <w:p w14:paraId="7B8BC3E4" w14:textId="73B33A9F" w:rsidR="00C311A6" w:rsidRPr="00247EED" w:rsidRDefault="00247EED" w:rsidP="00C311A6">
            <w:pPr>
              <w:tabs>
                <w:tab w:val="left" w:pos="0"/>
              </w:tabs>
              <w:spacing w:after="0" w:line="240" w:lineRule="auto"/>
              <w:ind w:left="34"/>
              <w:rPr>
                <w:rFonts w:ascii="Times New Roman" w:hAnsi="Times New Roman"/>
                <w:sz w:val="20"/>
                <w:szCs w:val="20"/>
                <w:lang w:eastAsia="pl-PL"/>
              </w:rPr>
            </w:pPr>
            <w:r w:rsidRPr="00247EED">
              <w:rPr>
                <w:rFonts w:ascii="Times New Roman" w:hAnsi="Times New Roman"/>
                <w:sz w:val="20"/>
                <w:szCs w:val="20"/>
                <w:lang w:eastAsia="pl-PL"/>
              </w:rPr>
              <w:t>Wsparcie płynnościowe ze środków Depozytu Obowiązkowego</w:t>
            </w:r>
          </w:p>
          <w:p w14:paraId="2A4F4F3A" w14:textId="7876AB04" w:rsidR="00247EED" w:rsidRPr="00247EED" w:rsidRDefault="00247EED" w:rsidP="00C311A6">
            <w:pPr>
              <w:tabs>
                <w:tab w:val="left" w:pos="0"/>
              </w:tabs>
              <w:spacing w:after="0" w:line="240" w:lineRule="auto"/>
              <w:ind w:left="34"/>
              <w:rPr>
                <w:rFonts w:ascii="Times New Roman" w:hAnsi="Times New Roman"/>
                <w:sz w:val="20"/>
                <w:szCs w:val="20"/>
                <w:lang w:eastAsia="pl-PL"/>
              </w:rPr>
            </w:pPr>
          </w:p>
        </w:tc>
        <w:tc>
          <w:tcPr>
            <w:tcW w:w="1560" w:type="dxa"/>
            <w:vAlign w:val="center"/>
          </w:tcPr>
          <w:p w14:paraId="3F9F20FD" w14:textId="0EC774C8" w:rsidR="00C311A6" w:rsidRPr="00247EED" w:rsidRDefault="00247EED" w:rsidP="00C311A6">
            <w:pPr>
              <w:spacing w:after="0" w:line="240" w:lineRule="auto"/>
              <w:jc w:val="center"/>
              <w:rPr>
                <w:rFonts w:ascii="Times New Roman" w:hAnsi="Times New Roman"/>
                <w:sz w:val="20"/>
                <w:szCs w:val="20"/>
                <w:lang w:eastAsia="pl-PL"/>
              </w:rPr>
            </w:pPr>
            <w:r w:rsidRPr="00247EED">
              <w:rPr>
                <w:rFonts w:ascii="Times New Roman" w:hAnsi="Times New Roman"/>
                <w:sz w:val="20"/>
                <w:szCs w:val="20"/>
                <w:lang w:eastAsia="pl-PL"/>
              </w:rPr>
              <w:t>365</w:t>
            </w:r>
          </w:p>
        </w:tc>
        <w:tc>
          <w:tcPr>
            <w:tcW w:w="3118" w:type="dxa"/>
            <w:vAlign w:val="center"/>
          </w:tcPr>
          <w:p w14:paraId="56C1573C" w14:textId="77777777" w:rsidR="00C311A6" w:rsidRPr="00247EED" w:rsidRDefault="00C311A6" w:rsidP="00C311A6">
            <w:pPr>
              <w:spacing w:after="0" w:line="240" w:lineRule="auto"/>
              <w:rPr>
                <w:rFonts w:ascii="Times New Roman" w:hAnsi="Times New Roman"/>
                <w:sz w:val="20"/>
                <w:szCs w:val="20"/>
                <w:lang w:eastAsia="pl-PL"/>
              </w:rPr>
            </w:pPr>
            <w:r w:rsidRPr="00247EED">
              <w:rPr>
                <w:rFonts w:ascii="Times New Roman" w:hAnsi="Times New Roman"/>
                <w:sz w:val="20"/>
                <w:szCs w:val="20"/>
                <w:lang w:eastAsia="pl-PL"/>
              </w:rPr>
              <w:t>w sytuacji awaryjnej</w:t>
            </w:r>
          </w:p>
        </w:tc>
      </w:tr>
    </w:tbl>
    <w:p w14:paraId="76A18AE1" w14:textId="77777777" w:rsidR="00C71F4F" w:rsidRPr="00ED417D" w:rsidRDefault="00C71F4F" w:rsidP="00FE7F42">
      <w:pPr>
        <w:pStyle w:val="Akapitzlist"/>
        <w:spacing w:after="0" w:line="240" w:lineRule="auto"/>
        <w:ind w:left="0"/>
        <w:jc w:val="both"/>
        <w:rPr>
          <w:rFonts w:ascii="Times New Roman" w:hAnsi="Times New Roman" w:cs="Times New Roman"/>
          <w:color w:val="FF0000"/>
          <w:sz w:val="24"/>
          <w:szCs w:val="24"/>
        </w:rPr>
      </w:pPr>
    </w:p>
    <w:p w14:paraId="2E59DC7D" w14:textId="77777777" w:rsidR="00C71F4F" w:rsidRPr="007401C9" w:rsidRDefault="00C71F4F" w:rsidP="00D13476">
      <w:pPr>
        <w:pStyle w:val="Akapitzlist"/>
        <w:spacing w:after="0" w:line="240" w:lineRule="auto"/>
        <w:ind w:left="0"/>
        <w:jc w:val="both"/>
        <w:rPr>
          <w:rFonts w:ascii="Times New Roman" w:hAnsi="Times New Roman" w:cs="Times New Roman"/>
          <w:sz w:val="24"/>
          <w:szCs w:val="24"/>
        </w:rPr>
      </w:pPr>
      <w:r w:rsidRPr="007401C9">
        <w:rPr>
          <w:rFonts w:ascii="Times New Roman" w:hAnsi="Times New Roman" w:cs="Times New Roman"/>
          <w:sz w:val="24"/>
          <w:szCs w:val="24"/>
        </w:rPr>
        <w:t xml:space="preserve">Przyczyny, które mogą spowodować narażenie Banku na ryzyko płynności to: </w:t>
      </w:r>
    </w:p>
    <w:p w14:paraId="486C7FE6"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n</w:t>
      </w:r>
      <w:r w:rsidR="00C71F4F" w:rsidRPr="007401C9">
        <w:rPr>
          <w:rFonts w:ascii="Times New Roman" w:hAnsi="Times New Roman" w:cs="Times New Roman"/>
          <w:sz w:val="24"/>
          <w:szCs w:val="24"/>
        </w:rPr>
        <w:t>iedopasowanie terminów zapadalności aktywów do terminów zapadalności pasywów i istnienie niekorzystnej skumulowanej luki płynności w poszczególnych przedziałach,</w:t>
      </w:r>
    </w:p>
    <w:p w14:paraId="05738841"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p</w:t>
      </w:r>
      <w:r w:rsidR="00C71F4F" w:rsidRPr="007401C9">
        <w:rPr>
          <w:rFonts w:ascii="Times New Roman" w:hAnsi="Times New Roman" w:cs="Times New Roman"/>
          <w:sz w:val="24"/>
          <w:szCs w:val="24"/>
        </w:rPr>
        <w:t>rzedterminowe wycofywanie depozytów przez klientów zaburzające prognozy przypływów pieniężnych Banku,</w:t>
      </w:r>
    </w:p>
    <w:p w14:paraId="3C3ED618"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n</w:t>
      </w:r>
      <w:r w:rsidR="00C71F4F" w:rsidRPr="007401C9">
        <w:rPr>
          <w:rFonts w:ascii="Times New Roman" w:hAnsi="Times New Roman" w:cs="Times New Roman"/>
          <w:sz w:val="24"/>
          <w:szCs w:val="24"/>
        </w:rPr>
        <w:t xml:space="preserve">admierna koncentracja depozytów pod względem dużych kontrahentów, </w:t>
      </w:r>
    </w:p>
    <w:p w14:paraId="51A81E33"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z</w:t>
      </w:r>
      <w:r w:rsidR="00C71F4F" w:rsidRPr="007401C9">
        <w:rPr>
          <w:rFonts w:ascii="Times New Roman" w:hAnsi="Times New Roman" w:cs="Times New Roman"/>
          <w:sz w:val="24"/>
          <w:szCs w:val="24"/>
        </w:rPr>
        <w:t>naczące zaangażowanie depozytowe osób wewnętrznych Banku,</w:t>
      </w:r>
    </w:p>
    <w:p w14:paraId="399B6F4E"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k</w:t>
      </w:r>
      <w:r w:rsidR="00C71F4F" w:rsidRPr="007401C9">
        <w:rPr>
          <w:rFonts w:ascii="Times New Roman" w:hAnsi="Times New Roman" w:cs="Times New Roman"/>
          <w:sz w:val="24"/>
          <w:szCs w:val="24"/>
        </w:rPr>
        <w:t>onieczność pozyskiwania depozytów po wysokim koszcie w sytuacji nagłego zapotrzebowania na środki,</w:t>
      </w:r>
    </w:p>
    <w:p w14:paraId="1B09E8F1"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w</w:t>
      </w:r>
      <w:r w:rsidR="00C71F4F" w:rsidRPr="007401C9">
        <w:rPr>
          <w:rFonts w:ascii="Times New Roman" w:hAnsi="Times New Roman" w:cs="Times New Roman"/>
          <w:sz w:val="24"/>
          <w:szCs w:val="24"/>
        </w:rPr>
        <w:t>adliwe plany awaryjne płynności nie uwzględniające szokowych zachowań klientów,</w:t>
      </w:r>
    </w:p>
    <w:p w14:paraId="663A24B7"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n</w:t>
      </w:r>
      <w:r w:rsidR="00D13476" w:rsidRPr="007401C9">
        <w:rPr>
          <w:rFonts w:ascii="Times New Roman" w:hAnsi="Times New Roman" w:cs="Times New Roman"/>
          <w:sz w:val="24"/>
          <w:szCs w:val="24"/>
        </w:rPr>
        <w:t>iski</w:t>
      </w:r>
      <w:r w:rsidR="00C71F4F" w:rsidRPr="007401C9">
        <w:rPr>
          <w:rFonts w:ascii="Times New Roman" w:hAnsi="Times New Roman" w:cs="Times New Roman"/>
          <w:sz w:val="24"/>
          <w:szCs w:val="24"/>
        </w:rPr>
        <w:t xml:space="preserve"> stosunek depozytów, w tym depozytów stabilnych do akcji kredytowej Banku,</w:t>
      </w:r>
    </w:p>
    <w:p w14:paraId="5F9F5F0A" w14:textId="77777777" w:rsidR="00C71F4F"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n</w:t>
      </w:r>
      <w:r w:rsidR="00C71F4F" w:rsidRPr="007401C9">
        <w:rPr>
          <w:rFonts w:ascii="Times New Roman" w:hAnsi="Times New Roman" w:cs="Times New Roman"/>
          <w:sz w:val="24"/>
          <w:szCs w:val="24"/>
        </w:rPr>
        <w:t>iewystarczające fundusze własne do finansowania aktywów strukturalnie niepłynnych</w:t>
      </w:r>
      <w:r w:rsidR="00D13476" w:rsidRPr="007401C9">
        <w:rPr>
          <w:rFonts w:ascii="Times New Roman" w:hAnsi="Times New Roman" w:cs="Times New Roman"/>
          <w:sz w:val="24"/>
          <w:szCs w:val="24"/>
        </w:rPr>
        <w:t>,</w:t>
      </w:r>
    </w:p>
    <w:p w14:paraId="000DE551" w14:textId="77777777" w:rsidR="00D13476" w:rsidRPr="007401C9" w:rsidRDefault="00A74206"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r</w:t>
      </w:r>
      <w:r w:rsidR="00D13476" w:rsidRPr="007401C9">
        <w:rPr>
          <w:rFonts w:ascii="Times New Roman" w:hAnsi="Times New Roman" w:cs="Times New Roman"/>
          <w:sz w:val="24"/>
          <w:szCs w:val="24"/>
        </w:rPr>
        <w:t>yzyko reputacji</w:t>
      </w:r>
      <w:r w:rsidRPr="007401C9">
        <w:rPr>
          <w:rFonts w:ascii="Times New Roman" w:hAnsi="Times New Roman" w:cs="Times New Roman"/>
          <w:sz w:val="24"/>
          <w:szCs w:val="24"/>
        </w:rPr>
        <w:t>.</w:t>
      </w:r>
    </w:p>
    <w:p w14:paraId="3023105F" w14:textId="77777777" w:rsidR="00C71F4F" w:rsidRPr="00ED417D" w:rsidRDefault="00C71F4F" w:rsidP="00D13476">
      <w:pPr>
        <w:pStyle w:val="Akapitzlist"/>
        <w:spacing w:after="0" w:line="240" w:lineRule="auto"/>
        <w:ind w:left="708"/>
        <w:jc w:val="both"/>
        <w:rPr>
          <w:rFonts w:ascii="Times New Roman" w:hAnsi="Times New Roman" w:cs="Times New Roman"/>
          <w:color w:val="FF0000"/>
          <w:sz w:val="24"/>
          <w:szCs w:val="24"/>
        </w:rPr>
      </w:pPr>
    </w:p>
    <w:p w14:paraId="4C37CBFA" w14:textId="77777777" w:rsidR="00C71F4F" w:rsidRPr="007401C9" w:rsidRDefault="00D13476" w:rsidP="00D13476">
      <w:pPr>
        <w:pStyle w:val="Akapitzlist"/>
        <w:spacing w:after="0" w:line="240" w:lineRule="auto"/>
        <w:ind w:left="0"/>
        <w:jc w:val="both"/>
        <w:rPr>
          <w:rFonts w:ascii="Times New Roman" w:hAnsi="Times New Roman" w:cs="Times New Roman"/>
          <w:sz w:val="24"/>
          <w:szCs w:val="24"/>
        </w:rPr>
      </w:pPr>
      <w:r w:rsidRPr="007401C9">
        <w:rPr>
          <w:rFonts w:ascii="Times New Roman" w:hAnsi="Times New Roman" w:cs="Times New Roman"/>
          <w:sz w:val="24"/>
          <w:szCs w:val="24"/>
        </w:rPr>
        <w:t>Bank dywersyfikuje źródła</w:t>
      </w:r>
      <w:r w:rsidR="00C71F4F" w:rsidRPr="007401C9">
        <w:rPr>
          <w:rFonts w:ascii="Times New Roman" w:hAnsi="Times New Roman" w:cs="Times New Roman"/>
          <w:sz w:val="24"/>
          <w:szCs w:val="24"/>
        </w:rPr>
        <w:t xml:space="preserve"> finansowania poprzez:</w:t>
      </w:r>
    </w:p>
    <w:p w14:paraId="13991788" w14:textId="77777777" w:rsidR="00C71F4F" w:rsidRPr="007401C9" w:rsidRDefault="00C71F4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ograniczanie depozytów dużych deponentów,</w:t>
      </w:r>
    </w:p>
    <w:p w14:paraId="73286A7C" w14:textId="77777777" w:rsidR="00C71F4F" w:rsidRPr="007401C9" w:rsidRDefault="00C71F4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różne terminy wymagalności depozytów,</w:t>
      </w:r>
    </w:p>
    <w:p w14:paraId="708A0C15" w14:textId="77777777" w:rsidR="00C71F4F" w:rsidRPr="007401C9" w:rsidRDefault="00C71F4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lastRenderedPageBreak/>
        <w:t>różny charakter depozytów: depozyty terminowe i bie</w:t>
      </w:r>
      <w:r w:rsidR="00D13476" w:rsidRPr="007401C9">
        <w:rPr>
          <w:rFonts w:ascii="Times New Roman" w:hAnsi="Times New Roman" w:cs="Times New Roman"/>
          <w:sz w:val="24"/>
          <w:szCs w:val="24"/>
        </w:rPr>
        <w:t>żące,</w:t>
      </w:r>
    </w:p>
    <w:p w14:paraId="0F352C3C" w14:textId="77777777" w:rsidR="00C71F4F" w:rsidRPr="00ED417D" w:rsidRDefault="00C71F4F" w:rsidP="00D13476">
      <w:pPr>
        <w:spacing w:after="0" w:line="240" w:lineRule="auto"/>
        <w:jc w:val="both"/>
        <w:rPr>
          <w:rFonts w:ascii="Times New Roman" w:hAnsi="Times New Roman" w:cs="Times New Roman"/>
          <w:color w:val="FF0000"/>
          <w:sz w:val="24"/>
          <w:szCs w:val="24"/>
        </w:rPr>
      </w:pPr>
    </w:p>
    <w:p w14:paraId="05EEB55E" w14:textId="77777777" w:rsidR="00C71F4F" w:rsidRPr="007401C9" w:rsidRDefault="0053317B" w:rsidP="0053317B">
      <w:pPr>
        <w:spacing w:after="0" w:line="240" w:lineRule="auto"/>
        <w:jc w:val="both"/>
        <w:rPr>
          <w:rFonts w:ascii="Times New Roman" w:hAnsi="Times New Roman" w:cs="Times New Roman"/>
          <w:sz w:val="24"/>
          <w:szCs w:val="24"/>
        </w:rPr>
      </w:pPr>
      <w:r w:rsidRPr="007401C9">
        <w:rPr>
          <w:rFonts w:ascii="Times New Roman" w:hAnsi="Times New Roman" w:cs="Times New Roman"/>
          <w:sz w:val="24"/>
          <w:szCs w:val="24"/>
        </w:rPr>
        <w:t xml:space="preserve">Bank </w:t>
      </w:r>
      <w:r w:rsidR="00C71F4F" w:rsidRPr="007401C9">
        <w:rPr>
          <w:rFonts w:ascii="Times New Roman" w:hAnsi="Times New Roman" w:cs="Times New Roman"/>
          <w:sz w:val="24"/>
          <w:szCs w:val="24"/>
        </w:rPr>
        <w:t>ograniczania ryzyka płynności</w:t>
      </w:r>
      <w:r w:rsidRPr="007401C9">
        <w:rPr>
          <w:rFonts w:ascii="Times New Roman" w:hAnsi="Times New Roman" w:cs="Times New Roman"/>
          <w:sz w:val="24"/>
          <w:szCs w:val="24"/>
        </w:rPr>
        <w:t xml:space="preserve"> poprzez:</w:t>
      </w:r>
    </w:p>
    <w:p w14:paraId="31B09A23" w14:textId="77777777" w:rsidR="00C71F4F" w:rsidRPr="007401C9" w:rsidRDefault="00877D9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s</w:t>
      </w:r>
      <w:r w:rsidR="00C71F4F" w:rsidRPr="007401C9">
        <w:rPr>
          <w:rFonts w:ascii="Times New Roman" w:hAnsi="Times New Roman" w:cs="Times New Roman"/>
          <w:sz w:val="24"/>
          <w:szCs w:val="24"/>
        </w:rPr>
        <w:t>tosowanie limitów ograniczających ryzyko płynności, w tym wewnętrznych limitów systemu ochrony,</w:t>
      </w:r>
    </w:p>
    <w:p w14:paraId="5F15F306" w14:textId="77777777" w:rsidR="00C71F4F" w:rsidRPr="007401C9" w:rsidRDefault="00C71F4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systematyczne testowanie planu awaryjnego płynności zapewniającego niezakłócone prowadzenie działalności w przypadku wystąpienia sytuacji kryzysowych,</w:t>
      </w:r>
    </w:p>
    <w:p w14:paraId="681923DD" w14:textId="77777777" w:rsidR="00C71F4F" w:rsidRPr="007401C9" w:rsidRDefault="00877D9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l</w:t>
      </w:r>
      <w:r w:rsidR="00C71F4F" w:rsidRPr="007401C9">
        <w:rPr>
          <w:rFonts w:ascii="Times New Roman" w:hAnsi="Times New Roman" w:cs="Times New Roman"/>
          <w:sz w:val="24"/>
          <w:szCs w:val="24"/>
        </w:rPr>
        <w:t>okowanie nadwyżek w aktywa płynne, które mają za zadanie zapewnienie przetrwanie w sytuacji skrajnej,</w:t>
      </w:r>
    </w:p>
    <w:p w14:paraId="2781CAB3" w14:textId="77777777" w:rsidR="00C71F4F" w:rsidRPr="007401C9" w:rsidRDefault="00877D9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p</w:t>
      </w:r>
      <w:r w:rsidR="00C71F4F" w:rsidRPr="007401C9">
        <w:rPr>
          <w:rFonts w:ascii="Times New Roman" w:hAnsi="Times New Roman" w:cs="Times New Roman"/>
          <w:sz w:val="24"/>
          <w:szCs w:val="24"/>
        </w:rPr>
        <w:t>rzy</w:t>
      </w:r>
      <w:r w:rsidR="006F7F05" w:rsidRPr="007401C9">
        <w:rPr>
          <w:rFonts w:ascii="Times New Roman" w:hAnsi="Times New Roman" w:cs="Times New Roman"/>
          <w:sz w:val="24"/>
          <w:szCs w:val="24"/>
        </w:rPr>
        <w:t>stąpienie do Systemu Ochrony</w:t>
      </w:r>
      <w:r w:rsidR="00C71F4F" w:rsidRPr="007401C9">
        <w:rPr>
          <w:rFonts w:ascii="Times New Roman" w:hAnsi="Times New Roman" w:cs="Times New Roman"/>
          <w:sz w:val="24"/>
          <w:szCs w:val="24"/>
        </w:rPr>
        <w:t>, które zapewnia w uzasadnionych przypadkach pomoc płynnościową z Funduszu Pomocowego,</w:t>
      </w:r>
    </w:p>
    <w:p w14:paraId="394A00B5" w14:textId="77777777" w:rsidR="00C71F4F" w:rsidRPr="007401C9" w:rsidRDefault="00877D9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utrzymywanie Minimum D</w:t>
      </w:r>
      <w:r w:rsidR="00C71F4F" w:rsidRPr="007401C9">
        <w:rPr>
          <w:rFonts w:ascii="Times New Roman" w:hAnsi="Times New Roman" w:cs="Times New Roman"/>
          <w:sz w:val="24"/>
          <w:szCs w:val="24"/>
        </w:rPr>
        <w:t>epozytowego</w:t>
      </w:r>
      <w:r w:rsidR="006F7F05" w:rsidRPr="007401C9">
        <w:rPr>
          <w:rFonts w:ascii="Times New Roman" w:hAnsi="Times New Roman" w:cs="Times New Roman"/>
          <w:sz w:val="24"/>
          <w:szCs w:val="24"/>
        </w:rPr>
        <w:t xml:space="preserve"> /</w:t>
      </w:r>
      <w:r w:rsidR="006F7F05" w:rsidRPr="007401C9">
        <w:rPr>
          <w:rFonts w:ascii="Times New Roman" w:hAnsi="Times New Roman"/>
        </w:rPr>
        <w:t xml:space="preserve"> Depozytu Obowiązkowego</w:t>
      </w:r>
      <w:r w:rsidR="00C71F4F" w:rsidRPr="007401C9">
        <w:rPr>
          <w:rFonts w:ascii="Times New Roman" w:hAnsi="Times New Roman" w:cs="Times New Roman"/>
          <w:sz w:val="24"/>
          <w:szCs w:val="24"/>
        </w:rPr>
        <w:t xml:space="preserve"> w Banku Zrzeszającym,</w:t>
      </w:r>
    </w:p>
    <w:p w14:paraId="6709E4C3" w14:textId="77777777" w:rsidR="00C71F4F" w:rsidRPr="007401C9" w:rsidRDefault="00877D9F" w:rsidP="00607ED4">
      <w:pPr>
        <w:pStyle w:val="Akapitzlist"/>
        <w:numPr>
          <w:ilvl w:val="0"/>
          <w:numId w:val="2"/>
        </w:numPr>
        <w:spacing w:after="0" w:line="240" w:lineRule="auto"/>
        <w:ind w:left="426" w:hanging="426"/>
        <w:jc w:val="both"/>
        <w:rPr>
          <w:rFonts w:ascii="Times New Roman" w:hAnsi="Times New Roman" w:cs="Times New Roman"/>
          <w:sz w:val="24"/>
          <w:szCs w:val="24"/>
        </w:rPr>
      </w:pPr>
      <w:r w:rsidRPr="007401C9">
        <w:rPr>
          <w:rFonts w:ascii="Times New Roman" w:hAnsi="Times New Roman" w:cs="Times New Roman"/>
          <w:sz w:val="24"/>
          <w:szCs w:val="24"/>
        </w:rPr>
        <w:t>o</w:t>
      </w:r>
      <w:r w:rsidR="00C71F4F" w:rsidRPr="007401C9">
        <w:rPr>
          <w:rFonts w:ascii="Times New Roman" w:hAnsi="Times New Roman" w:cs="Times New Roman"/>
          <w:sz w:val="24"/>
          <w:szCs w:val="24"/>
        </w:rPr>
        <w:t>kreślanie prognoz nadwyżki z uwzględnieniem dodatkowego bufora płynności,</w:t>
      </w:r>
    </w:p>
    <w:p w14:paraId="09DFBF9E" w14:textId="77777777" w:rsidR="00C71F4F" w:rsidRPr="007401C9" w:rsidRDefault="00C71F4F" w:rsidP="005A3FFA">
      <w:pPr>
        <w:pStyle w:val="Akapitzlist"/>
        <w:spacing w:after="0" w:line="240" w:lineRule="auto"/>
        <w:ind w:left="0"/>
        <w:jc w:val="both"/>
        <w:rPr>
          <w:rFonts w:ascii="Times New Roman" w:hAnsi="Times New Roman" w:cs="Times New Roman"/>
          <w:sz w:val="24"/>
          <w:szCs w:val="24"/>
        </w:rPr>
      </w:pPr>
    </w:p>
    <w:p w14:paraId="67C6C333" w14:textId="77777777" w:rsidR="00C71F4F" w:rsidRPr="007401C9" w:rsidRDefault="00595EA2" w:rsidP="00595EA2">
      <w:pPr>
        <w:spacing w:after="0" w:line="240" w:lineRule="auto"/>
        <w:jc w:val="both"/>
        <w:rPr>
          <w:rFonts w:ascii="Times New Roman" w:hAnsi="Times New Roman" w:cs="Times New Roman"/>
          <w:sz w:val="24"/>
          <w:szCs w:val="24"/>
        </w:rPr>
      </w:pPr>
      <w:r w:rsidRPr="007401C9">
        <w:rPr>
          <w:rFonts w:ascii="Times New Roman" w:hAnsi="Times New Roman" w:cs="Times New Roman"/>
          <w:sz w:val="24"/>
          <w:szCs w:val="24"/>
        </w:rPr>
        <w:t>Głównymi p</w:t>
      </w:r>
      <w:r w:rsidR="00C71F4F" w:rsidRPr="007401C9">
        <w:rPr>
          <w:rFonts w:ascii="Times New Roman" w:hAnsi="Times New Roman" w:cs="Times New Roman"/>
          <w:sz w:val="24"/>
          <w:szCs w:val="24"/>
        </w:rPr>
        <w:t>ojęcia</w:t>
      </w:r>
      <w:r w:rsidRPr="007401C9">
        <w:rPr>
          <w:rFonts w:ascii="Times New Roman" w:hAnsi="Times New Roman" w:cs="Times New Roman"/>
          <w:sz w:val="24"/>
          <w:szCs w:val="24"/>
        </w:rPr>
        <w:t>mi stosowanymi</w:t>
      </w:r>
      <w:r w:rsidR="00C71F4F" w:rsidRPr="007401C9">
        <w:rPr>
          <w:rFonts w:ascii="Times New Roman" w:hAnsi="Times New Roman" w:cs="Times New Roman"/>
          <w:sz w:val="24"/>
          <w:szCs w:val="24"/>
        </w:rPr>
        <w:t xml:space="preserve"> w procesie mierzenia pozycj</w:t>
      </w:r>
      <w:r w:rsidRPr="007401C9">
        <w:rPr>
          <w:rFonts w:ascii="Times New Roman" w:hAnsi="Times New Roman" w:cs="Times New Roman"/>
          <w:sz w:val="24"/>
          <w:szCs w:val="24"/>
        </w:rPr>
        <w:t>i płynności i ryzyka płynności są:</w:t>
      </w:r>
    </w:p>
    <w:p w14:paraId="4F3B66B6"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baza depozytowa – zobowiązania terminowe i bieżące wobec osób fizycznych oraz innych podmiotów niefinansowych, z wyłączeniem transakcji dotyczących obrotu na hurtowym rynku finansowym,</w:t>
      </w:r>
    </w:p>
    <w:p w14:paraId="34E03AEB"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depozyty – baza depozytowa oraz zobowiązania terminowe i bieżące wobec instytucji rządowych lub samorządowych oraz podmiotów finansowych, z wyłączeniem banków;</w:t>
      </w:r>
    </w:p>
    <w:p w14:paraId="19412B4E"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płynność dzienna – zdolność wykonania wszystkich zobowiązań pieniężnych na zamknięcie dnia;</w:t>
      </w:r>
    </w:p>
    <w:p w14:paraId="74271252"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płynność bieżąca – zdolność wykonania wszystkich zobowiązań pieniężnych w terminie płatności przypadającym w okresie 7 kolejnych dni;</w:t>
      </w:r>
    </w:p>
    <w:p w14:paraId="19F6BC77"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 xml:space="preserve">płynność krótkoterminowa – zdolność wykonania wszystkich zobowiązań pieniężnych </w:t>
      </w:r>
      <w:r w:rsidRPr="007401C9">
        <w:rPr>
          <w:rFonts w:ascii="Times New Roman" w:hAnsi="Times New Roman"/>
        </w:rPr>
        <w:br/>
        <w:t>w terminie płatności przypadającym w okresie 30 kolejnych dni;</w:t>
      </w:r>
    </w:p>
    <w:p w14:paraId="29A8F1A1"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płynność średnioterminowa – zapewnienie wykonania wszystkich zobowiązań pieniężnych w terminie płatności przypadającym w okresie powyżej 1 miesiąca i do 12 miesięcy;</w:t>
      </w:r>
    </w:p>
    <w:p w14:paraId="514A8381"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płynność długoterminowa – monitorowanie możliwości wykonania wszystkich zobowiązań pieniężnych w terminie płatności przypadającym w okresie powyżej 12 miesięcy;</w:t>
      </w:r>
    </w:p>
    <w:p w14:paraId="32A3D9C9" w14:textId="77777777" w:rsidR="008C39EF" w:rsidRPr="007401C9" w:rsidRDefault="008C39EF" w:rsidP="000C62C3">
      <w:pPr>
        <w:pStyle w:val="Tekstpodstawowy2"/>
        <w:numPr>
          <w:ilvl w:val="0"/>
          <w:numId w:val="20"/>
        </w:numPr>
        <w:rPr>
          <w:rFonts w:ascii="Times New Roman" w:hAnsi="Times New Roman"/>
        </w:rPr>
      </w:pPr>
      <w:r w:rsidRPr="007401C9">
        <w:rPr>
          <w:rFonts w:ascii="Times New Roman" w:hAnsi="Times New Roman"/>
        </w:rPr>
        <w:t xml:space="preserve">bufor płynności – oszacowana przez Bank wysokość potrzebnych aktywów nieobciążonych, stanowiąca zabezpieczenie na wypadek zrealizowania się scenariuszy warunków skrajnych płynności w określonym, w obowiązującej w Banku </w:t>
      </w:r>
      <w:r w:rsidR="00E51B9C" w:rsidRPr="007401C9">
        <w:rPr>
          <w:rFonts w:ascii="Times New Roman" w:hAnsi="Times New Roman"/>
        </w:rPr>
        <w:t xml:space="preserve">Strategii </w:t>
      </w:r>
      <w:r w:rsidRPr="007401C9">
        <w:rPr>
          <w:rFonts w:ascii="Times New Roman" w:hAnsi="Times New Roman"/>
        </w:rPr>
        <w:t>zarządzania ryzykiem „horyzoncie przeżycia”;</w:t>
      </w:r>
    </w:p>
    <w:p w14:paraId="52E6B967" w14:textId="77777777" w:rsidR="00011D4D" w:rsidRPr="00ED417D" w:rsidRDefault="00011D4D" w:rsidP="00236DB6">
      <w:pPr>
        <w:pStyle w:val="Akapitzlist"/>
        <w:spacing w:after="0" w:line="240" w:lineRule="auto"/>
        <w:ind w:left="360"/>
        <w:jc w:val="both"/>
        <w:rPr>
          <w:rFonts w:ascii="Times New Roman" w:hAnsi="Times New Roman" w:cs="Times New Roman"/>
          <w:color w:val="FF0000"/>
          <w:sz w:val="24"/>
          <w:szCs w:val="24"/>
        </w:rPr>
      </w:pPr>
    </w:p>
    <w:p w14:paraId="786385E6" w14:textId="77777777" w:rsidR="00C71F4F" w:rsidRPr="007401C9" w:rsidRDefault="006917DC" w:rsidP="006917DC">
      <w:pPr>
        <w:spacing w:after="0" w:line="240" w:lineRule="auto"/>
        <w:jc w:val="both"/>
        <w:rPr>
          <w:rFonts w:ascii="Times New Roman" w:hAnsi="Times New Roman" w:cs="Times New Roman"/>
          <w:sz w:val="24"/>
          <w:szCs w:val="24"/>
        </w:rPr>
      </w:pPr>
      <w:r w:rsidRPr="007401C9">
        <w:rPr>
          <w:rFonts w:ascii="Times New Roman" w:hAnsi="Times New Roman" w:cs="Times New Roman"/>
          <w:sz w:val="24"/>
          <w:szCs w:val="24"/>
        </w:rPr>
        <w:t>Bank wykorzystuje wyniki testów warunków skrajnych do: planowania awaryjnego, wyznaczania poziomu limitów,</w:t>
      </w:r>
      <w:r w:rsidR="00C71F4F" w:rsidRPr="007401C9">
        <w:rPr>
          <w:rFonts w:ascii="Times New Roman" w:hAnsi="Times New Roman" w:cs="Times New Roman"/>
          <w:sz w:val="24"/>
          <w:szCs w:val="24"/>
        </w:rPr>
        <w:t xml:space="preserve"> sz</w:t>
      </w:r>
      <w:r w:rsidRPr="007401C9">
        <w:rPr>
          <w:rFonts w:ascii="Times New Roman" w:hAnsi="Times New Roman" w:cs="Times New Roman"/>
          <w:sz w:val="24"/>
          <w:szCs w:val="24"/>
        </w:rPr>
        <w:t>acowania kapitału wewnętrznego, zmiany polityki płynnościowej Banku.</w:t>
      </w:r>
    </w:p>
    <w:p w14:paraId="1D14AE76" w14:textId="77777777" w:rsidR="00C71F4F" w:rsidRPr="007401C9" w:rsidRDefault="001944A7" w:rsidP="001944A7">
      <w:pPr>
        <w:spacing w:after="0" w:line="240" w:lineRule="auto"/>
        <w:jc w:val="both"/>
        <w:rPr>
          <w:rFonts w:ascii="Times New Roman" w:hAnsi="Times New Roman" w:cs="Times New Roman"/>
          <w:sz w:val="24"/>
          <w:szCs w:val="24"/>
        </w:rPr>
      </w:pPr>
      <w:r w:rsidRPr="007401C9">
        <w:rPr>
          <w:rFonts w:ascii="Times New Roman" w:hAnsi="Times New Roman" w:cs="Times New Roman"/>
          <w:sz w:val="24"/>
          <w:szCs w:val="24"/>
        </w:rPr>
        <w:t>Awaryjne plany płynności</w:t>
      </w:r>
      <w:r w:rsidR="00C71F4F" w:rsidRPr="007401C9">
        <w:rPr>
          <w:rFonts w:ascii="Times New Roman" w:hAnsi="Times New Roman" w:cs="Times New Roman"/>
          <w:sz w:val="24"/>
          <w:szCs w:val="24"/>
        </w:rPr>
        <w:t xml:space="preserve"> zostały zintegrowane z testami warunków skrajnych poprzez wykorzystywanie testów warunków skrajnych jako scenariuszy uruchamiających awaryjny plan płynnościowy.</w:t>
      </w:r>
    </w:p>
    <w:p w14:paraId="3D75998B" w14:textId="77777777" w:rsidR="00617C41" w:rsidRPr="00ED417D" w:rsidRDefault="00617C41" w:rsidP="00617C41">
      <w:pPr>
        <w:spacing w:after="0" w:line="240" w:lineRule="auto"/>
        <w:jc w:val="both"/>
        <w:rPr>
          <w:rFonts w:ascii="Times New Roman" w:hAnsi="Times New Roman" w:cs="Times New Roman"/>
          <w:color w:val="FF0000"/>
          <w:sz w:val="24"/>
          <w:szCs w:val="24"/>
        </w:rPr>
      </w:pPr>
    </w:p>
    <w:p w14:paraId="63903792" w14:textId="77777777" w:rsidR="001944A7" w:rsidRPr="007401C9" w:rsidRDefault="001944A7" w:rsidP="005C3773">
      <w:pPr>
        <w:spacing w:after="0" w:line="240" w:lineRule="auto"/>
        <w:jc w:val="both"/>
        <w:rPr>
          <w:rFonts w:ascii="Times New Roman" w:hAnsi="Times New Roman"/>
          <w:sz w:val="24"/>
          <w:szCs w:val="24"/>
        </w:rPr>
      </w:pPr>
      <w:r w:rsidRPr="007401C9">
        <w:rPr>
          <w:rFonts w:ascii="Times New Roman" w:hAnsi="Times New Roman"/>
          <w:sz w:val="24"/>
          <w:szCs w:val="24"/>
        </w:rPr>
        <w:t>W celu utrzymywania ryzyka płynności na odpowiednim poziomie oraz sprostania zapotrzebowaniom na środki płynne w sytuacjach kryzysowych Bank utrzymuje odpowiednią wielkość aktywów nieobciążonych lub dodatkowych źródeł finansowania, które mogą być natychmiast wykorzystywane przez Bank jako źródło środków płynnych.</w:t>
      </w:r>
    </w:p>
    <w:p w14:paraId="5D7024BB" w14:textId="77777777" w:rsidR="001A2DD1" w:rsidRPr="00ED417D" w:rsidRDefault="001A2DD1" w:rsidP="005C3773">
      <w:pPr>
        <w:spacing w:after="0" w:line="240" w:lineRule="auto"/>
        <w:jc w:val="both"/>
        <w:rPr>
          <w:rFonts w:ascii="Times New Roman" w:hAnsi="Times New Roman"/>
          <w:color w:val="FF0000"/>
          <w:sz w:val="24"/>
          <w:szCs w:val="24"/>
        </w:rPr>
      </w:pPr>
    </w:p>
    <w:p w14:paraId="2EB0C038" w14:textId="0A18332E" w:rsidR="001944A7" w:rsidRPr="007401C9" w:rsidRDefault="001944A7" w:rsidP="005C3773">
      <w:pPr>
        <w:spacing w:after="0" w:line="240" w:lineRule="auto"/>
        <w:jc w:val="both"/>
        <w:rPr>
          <w:rFonts w:ascii="Times New Roman" w:hAnsi="Times New Roman"/>
          <w:sz w:val="24"/>
          <w:szCs w:val="24"/>
        </w:rPr>
      </w:pPr>
      <w:r w:rsidRPr="007401C9">
        <w:rPr>
          <w:rFonts w:ascii="Times New Roman" w:hAnsi="Times New Roman"/>
          <w:sz w:val="24"/>
          <w:szCs w:val="24"/>
        </w:rPr>
        <w:t>W ramach alternatywnych źródeł finansowania Bank wyróżnia:</w:t>
      </w:r>
    </w:p>
    <w:p w14:paraId="4DCAF890" w14:textId="77777777" w:rsidR="001944A7" w:rsidRPr="007401C9" w:rsidRDefault="001944A7" w:rsidP="000C62C3">
      <w:pPr>
        <w:pStyle w:val="Akapitzlist"/>
        <w:numPr>
          <w:ilvl w:val="0"/>
          <w:numId w:val="21"/>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lastRenderedPageBreak/>
        <w:t>sprzedaż wysokopłynnych aktywów (aktywa nieobciążone) lub zaciągnięcie kredytów zabezpieczonych t</w:t>
      </w:r>
      <w:r w:rsidR="003B3D76" w:rsidRPr="007401C9">
        <w:rPr>
          <w:rFonts w:ascii="Times New Roman" w:hAnsi="Times New Roman"/>
          <w:sz w:val="24"/>
          <w:szCs w:val="24"/>
        </w:rPr>
        <w:t>ymi aktywami,</w:t>
      </w:r>
    </w:p>
    <w:p w14:paraId="7EAE8C71" w14:textId="77777777" w:rsidR="001944A7" w:rsidRPr="007401C9" w:rsidRDefault="001944A7" w:rsidP="000C62C3">
      <w:pPr>
        <w:pStyle w:val="Akapitzlist"/>
        <w:numPr>
          <w:ilvl w:val="0"/>
          <w:numId w:val="21"/>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dodatkowe źródła finansowania w postaci:</w:t>
      </w:r>
    </w:p>
    <w:p w14:paraId="094ECCFB" w14:textId="77777777" w:rsidR="001944A7" w:rsidRPr="007401C9" w:rsidRDefault="001944A7" w:rsidP="000C62C3">
      <w:pPr>
        <w:pStyle w:val="Akapitzlist"/>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7401C9">
        <w:rPr>
          <w:rFonts w:ascii="Times New Roman" w:hAnsi="Times New Roman"/>
          <w:sz w:val="24"/>
          <w:szCs w:val="24"/>
        </w:rPr>
        <w:t>wykorzystania</w:t>
      </w:r>
      <w:r w:rsidR="003B3D76" w:rsidRPr="007401C9">
        <w:rPr>
          <w:rFonts w:ascii="Times New Roman" w:hAnsi="Times New Roman"/>
          <w:sz w:val="24"/>
          <w:szCs w:val="24"/>
        </w:rPr>
        <w:t xml:space="preserve"> przyznanych linii kredytowych,</w:t>
      </w:r>
    </w:p>
    <w:p w14:paraId="2F1A6B76" w14:textId="77777777" w:rsidR="001944A7" w:rsidRPr="007401C9" w:rsidRDefault="001944A7" w:rsidP="000C62C3">
      <w:pPr>
        <w:pStyle w:val="Akapitzlist"/>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7401C9">
        <w:rPr>
          <w:rFonts w:ascii="Times New Roman" w:hAnsi="Times New Roman"/>
          <w:sz w:val="24"/>
          <w:szCs w:val="24"/>
        </w:rPr>
        <w:t>sprzedaży</w:t>
      </w:r>
      <w:r w:rsidR="003B3D76" w:rsidRPr="007401C9">
        <w:rPr>
          <w:rFonts w:ascii="Times New Roman" w:hAnsi="Times New Roman"/>
          <w:sz w:val="24"/>
          <w:szCs w:val="24"/>
        </w:rPr>
        <w:t xml:space="preserve"> innych aktywów, w tym kredytów,</w:t>
      </w:r>
    </w:p>
    <w:p w14:paraId="23996323" w14:textId="77777777" w:rsidR="001944A7" w:rsidRPr="007401C9" w:rsidRDefault="001944A7" w:rsidP="000C62C3">
      <w:pPr>
        <w:pStyle w:val="Akapitzlist"/>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7401C9">
        <w:rPr>
          <w:rFonts w:ascii="Times New Roman" w:hAnsi="Times New Roman"/>
          <w:sz w:val="24"/>
          <w:szCs w:val="24"/>
        </w:rPr>
        <w:t>pozyskania niezabezpieczonego fin</w:t>
      </w:r>
      <w:r w:rsidR="003B3D76" w:rsidRPr="007401C9">
        <w:rPr>
          <w:rFonts w:ascii="Times New Roman" w:hAnsi="Times New Roman"/>
          <w:sz w:val="24"/>
          <w:szCs w:val="24"/>
        </w:rPr>
        <w:t>ansowania z Banku Zrzeszającego,</w:t>
      </w:r>
    </w:p>
    <w:p w14:paraId="4E7D0450" w14:textId="77777777" w:rsidR="001944A7" w:rsidRPr="007401C9" w:rsidRDefault="001944A7" w:rsidP="000C62C3">
      <w:pPr>
        <w:pStyle w:val="Akapitzlist"/>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7401C9">
        <w:rPr>
          <w:rFonts w:ascii="Times New Roman" w:hAnsi="Times New Roman"/>
          <w:sz w:val="24"/>
          <w:szCs w:val="24"/>
        </w:rPr>
        <w:t>pozyskania pożycz</w:t>
      </w:r>
      <w:r w:rsidR="003B3D76" w:rsidRPr="007401C9">
        <w:rPr>
          <w:rFonts w:ascii="Times New Roman" w:hAnsi="Times New Roman"/>
          <w:sz w:val="24"/>
          <w:szCs w:val="24"/>
        </w:rPr>
        <w:t>ki płynnościowej ze Spółdzielni,</w:t>
      </w:r>
    </w:p>
    <w:p w14:paraId="0E318DC5" w14:textId="77777777" w:rsidR="001944A7" w:rsidRPr="007401C9" w:rsidRDefault="003B3D76" w:rsidP="003B3D76">
      <w:pPr>
        <w:spacing w:after="0" w:line="240" w:lineRule="auto"/>
        <w:jc w:val="both"/>
        <w:rPr>
          <w:rFonts w:ascii="Times New Roman" w:hAnsi="Times New Roman"/>
          <w:sz w:val="24"/>
          <w:szCs w:val="24"/>
        </w:rPr>
      </w:pPr>
      <w:r w:rsidRPr="007401C9">
        <w:rPr>
          <w:rFonts w:ascii="Times New Roman" w:hAnsi="Times New Roman"/>
          <w:sz w:val="24"/>
          <w:szCs w:val="24"/>
        </w:rPr>
        <w:t xml:space="preserve">Do aktywów nieobciążonych </w:t>
      </w:r>
      <w:r w:rsidR="001944A7" w:rsidRPr="007401C9">
        <w:rPr>
          <w:rFonts w:ascii="Times New Roman" w:hAnsi="Times New Roman"/>
          <w:sz w:val="24"/>
          <w:szCs w:val="24"/>
        </w:rPr>
        <w:t>mogą być zaliczane aktywa, które spełniają wszystkie z wymienionych warunków:</w:t>
      </w:r>
    </w:p>
    <w:p w14:paraId="1E187AF6" w14:textId="77777777" w:rsidR="001944A7" w:rsidRPr="007401C9" w:rsidRDefault="001944A7" w:rsidP="000C62C3">
      <w:pPr>
        <w:pStyle w:val="Akapitzlist"/>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 xml:space="preserve">brak </w:t>
      </w:r>
      <w:r w:rsidR="003B3D76" w:rsidRPr="007401C9">
        <w:rPr>
          <w:rFonts w:ascii="Times New Roman" w:hAnsi="Times New Roman"/>
          <w:sz w:val="24"/>
          <w:szCs w:val="24"/>
        </w:rPr>
        <w:t>obciążeń,</w:t>
      </w:r>
    </w:p>
    <w:p w14:paraId="2C31F248" w14:textId="77777777" w:rsidR="001944A7" w:rsidRPr="007401C9" w:rsidRDefault="003B3D76" w:rsidP="000C62C3">
      <w:pPr>
        <w:pStyle w:val="Akapitzlist"/>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wysoka jakość kredytowa,</w:t>
      </w:r>
    </w:p>
    <w:p w14:paraId="13286F81" w14:textId="77777777" w:rsidR="001944A7" w:rsidRPr="007401C9" w:rsidRDefault="003B3D76" w:rsidP="000C62C3">
      <w:pPr>
        <w:pStyle w:val="Akapitzlist"/>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łatwa zbywalność,</w:t>
      </w:r>
    </w:p>
    <w:p w14:paraId="114A55F3" w14:textId="77777777" w:rsidR="001944A7" w:rsidRPr="007401C9" w:rsidRDefault="001944A7" w:rsidP="000C62C3">
      <w:pPr>
        <w:pStyle w:val="Akapitzlist"/>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brak prawnych, regulacyjnych i operacyjnych przeszkód do wykorzystania ak</w:t>
      </w:r>
      <w:r w:rsidR="003B3D76" w:rsidRPr="007401C9">
        <w:rPr>
          <w:rFonts w:ascii="Times New Roman" w:hAnsi="Times New Roman"/>
          <w:sz w:val="24"/>
          <w:szCs w:val="24"/>
        </w:rPr>
        <w:t>tywów w celu pozyskania środków,</w:t>
      </w:r>
    </w:p>
    <w:p w14:paraId="6BCFF396" w14:textId="77777777" w:rsidR="001944A7" w:rsidRPr="007401C9" w:rsidRDefault="001944A7" w:rsidP="000C62C3">
      <w:pPr>
        <w:pStyle w:val="Akapitzlist"/>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sprzedaż aktywa nie oznacza konieczności podejmowania nadzwyczajnych działań.</w:t>
      </w:r>
    </w:p>
    <w:p w14:paraId="0F0E1579" w14:textId="77777777" w:rsidR="001A2DD1" w:rsidRPr="00ED417D" w:rsidRDefault="001A2DD1" w:rsidP="00CE48F7">
      <w:pPr>
        <w:spacing w:after="0" w:line="240" w:lineRule="auto"/>
        <w:jc w:val="both"/>
        <w:rPr>
          <w:rFonts w:ascii="Times New Roman" w:hAnsi="Times New Roman"/>
          <w:color w:val="FF0000"/>
          <w:sz w:val="24"/>
          <w:szCs w:val="24"/>
        </w:rPr>
      </w:pPr>
    </w:p>
    <w:p w14:paraId="23C0B70F" w14:textId="323DFC8A" w:rsidR="00CE48F7" w:rsidRPr="007401C9" w:rsidRDefault="001944A7" w:rsidP="00CE48F7">
      <w:pPr>
        <w:spacing w:after="0" w:line="240" w:lineRule="auto"/>
        <w:jc w:val="both"/>
        <w:rPr>
          <w:rFonts w:ascii="Times New Roman" w:hAnsi="Times New Roman"/>
          <w:sz w:val="24"/>
          <w:szCs w:val="24"/>
        </w:rPr>
      </w:pPr>
      <w:r w:rsidRPr="007401C9">
        <w:rPr>
          <w:rFonts w:ascii="Times New Roman" w:hAnsi="Times New Roman"/>
          <w:sz w:val="24"/>
          <w:szCs w:val="24"/>
        </w:rPr>
        <w:t>Bank utrzymuje aktywa nieobciążone (liczone według wartości bilansowej) na poziomie równym lub wyższym od wyznaczonego</w:t>
      </w:r>
      <w:r w:rsidR="00CE48F7" w:rsidRPr="007401C9">
        <w:rPr>
          <w:rFonts w:ascii="Times New Roman" w:hAnsi="Times New Roman"/>
          <w:sz w:val="24"/>
          <w:szCs w:val="24"/>
        </w:rPr>
        <w:t xml:space="preserve"> </w:t>
      </w:r>
      <w:r w:rsidRPr="007401C9">
        <w:rPr>
          <w:rFonts w:ascii="Times New Roman" w:hAnsi="Times New Roman"/>
          <w:sz w:val="24"/>
          <w:szCs w:val="24"/>
        </w:rPr>
        <w:t>bufora</w:t>
      </w:r>
      <w:r w:rsidR="00CE48F7" w:rsidRPr="007401C9">
        <w:rPr>
          <w:rFonts w:ascii="Times New Roman" w:hAnsi="Times New Roman"/>
          <w:sz w:val="24"/>
          <w:szCs w:val="24"/>
        </w:rPr>
        <w:t xml:space="preserve"> płynności.</w:t>
      </w:r>
    </w:p>
    <w:p w14:paraId="333B6DC7" w14:textId="77777777" w:rsidR="001944A7" w:rsidRPr="00ED417D" w:rsidRDefault="001944A7" w:rsidP="00617C41">
      <w:pPr>
        <w:spacing w:after="0" w:line="240" w:lineRule="auto"/>
        <w:jc w:val="both"/>
        <w:rPr>
          <w:rFonts w:ascii="Times New Roman" w:hAnsi="Times New Roman" w:cs="Times New Roman"/>
          <w:color w:val="FF0000"/>
          <w:sz w:val="24"/>
          <w:szCs w:val="24"/>
        </w:rPr>
      </w:pPr>
    </w:p>
    <w:p w14:paraId="09EF2F08" w14:textId="77777777" w:rsidR="008734DE" w:rsidRPr="007401C9" w:rsidRDefault="008734DE" w:rsidP="008734DE">
      <w:pPr>
        <w:spacing w:after="0" w:line="240" w:lineRule="auto"/>
        <w:jc w:val="both"/>
        <w:rPr>
          <w:rFonts w:ascii="Times New Roman" w:hAnsi="Times New Roman"/>
          <w:sz w:val="24"/>
          <w:szCs w:val="24"/>
        </w:rPr>
      </w:pPr>
      <w:r w:rsidRPr="007401C9">
        <w:rPr>
          <w:rFonts w:ascii="Times New Roman" w:hAnsi="Times New Roman"/>
          <w:sz w:val="24"/>
          <w:szCs w:val="24"/>
        </w:rPr>
        <w:t xml:space="preserve">Z zakresu ryzyka płynności w Banku funkcjonuje system informacji zarządczej, który pozwala Zarządowi i Radzie Nadzorczej na m.in.: </w:t>
      </w:r>
    </w:p>
    <w:p w14:paraId="37EC012D" w14:textId="77777777" w:rsidR="008734DE" w:rsidRPr="007401C9" w:rsidRDefault="008734DE" w:rsidP="000C62C3">
      <w:pPr>
        <w:pStyle w:val="Akapitzlist"/>
        <w:numPr>
          <w:ilvl w:val="0"/>
          <w:numId w:val="25"/>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monitorowanie poziomu ryzyka, w tym przyjętych limitów,</w:t>
      </w:r>
    </w:p>
    <w:p w14:paraId="73F5E8D2" w14:textId="77777777" w:rsidR="008734DE" w:rsidRPr="007401C9" w:rsidRDefault="008734DE" w:rsidP="000C62C3">
      <w:pPr>
        <w:pStyle w:val="Akapitzlist"/>
        <w:numPr>
          <w:ilvl w:val="0"/>
          <w:numId w:val="25"/>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kontrolę realizacji celów strategicznych w zakresie ryzyka płynności,</w:t>
      </w:r>
    </w:p>
    <w:p w14:paraId="3BF1B973" w14:textId="77777777" w:rsidR="008734DE" w:rsidRPr="007401C9" w:rsidRDefault="008734DE" w:rsidP="000C62C3">
      <w:pPr>
        <w:pStyle w:val="Akapitzlist"/>
        <w:numPr>
          <w:ilvl w:val="0"/>
          <w:numId w:val="25"/>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ocenę skutków podejmowanych decyzji,</w:t>
      </w:r>
    </w:p>
    <w:p w14:paraId="43643FAD" w14:textId="77777777" w:rsidR="008734DE" w:rsidRPr="007401C9" w:rsidRDefault="008734DE" w:rsidP="000C62C3">
      <w:pPr>
        <w:pStyle w:val="Akapitzlist"/>
        <w:numPr>
          <w:ilvl w:val="0"/>
          <w:numId w:val="25"/>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podejmowanie odpowiednich działań w celu ograniczania ryzyka.</w:t>
      </w:r>
    </w:p>
    <w:p w14:paraId="77EBB3F3" w14:textId="77777777" w:rsidR="00AA31EE" w:rsidRPr="00ED417D" w:rsidRDefault="00AA31EE" w:rsidP="00A743D9">
      <w:pPr>
        <w:spacing w:after="0" w:line="240" w:lineRule="auto"/>
        <w:jc w:val="both"/>
        <w:rPr>
          <w:rFonts w:ascii="Times New Roman" w:hAnsi="Times New Roman"/>
          <w:color w:val="FF0000"/>
          <w:sz w:val="24"/>
          <w:szCs w:val="24"/>
        </w:rPr>
      </w:pPr>
    </w:p>
    <w:p w14:paraId="286364E5" w14:textId="77777777" w:rsidR="008734DE" w:rsidRPr="007401C9" w:rsidRDefault="008734DE" w:rsidP="00A743D9">
      <w:pPr>
        <w:spacing w:after="0" w:line="240" w:lineRule="auto"/>
        <w:jc w:val="both"/>
        <w:rPr>
          <w:rFonts w:ascii="Times New Roman" w:hAnsi="Times New Roman"/>
          <w:sz w:val="24"/>
          <w:szCs w:val="24"/>
        </w:rPr>
      </w:pPr>
      <w:r w:rsidRPr="007401C9">
        <w:rPr>
          <w:rFonts w:ascii="Times New Roman" w:hAnsi="Times New Roman"/>
          <w:sz w:val="24"/>
          <w:szCs w:val="24"/>
        </w:rPr>
        <w:t>Raporty z ryzyka płynności dla Zarządu sporządzane są z częstotliwością przynajmniej miesięczną, a dla Rady Nadzorczej z częstotliwością przynajmniej kwartalną.</w:t>
      </w:r>
    </w:p>
    <w:p w14:paraId="08226329" w14:textId="77777777" w:rsidR="008734DE" w:rsidRPr="007401C9" w:rsidRDefault="008734DE" w:rsidP="00A743D9">
      <w:pPr>
        <w:spacing w:after="0" w:line="240" w:lineRule="auto"/>
        <w:jc w:val="both"/>
        <w:rPr>
          <w:rFonts w:ascii="Times New Roman" w:hAnsi="Times New Roman"/>
          <w:sz w:val="24"/>
          <w:szCs w:val="24"/>
        </w:rPr>
      </w:pPr>
      <w:r w:rsidRPr="007401C9">
        <w:rPr>
          <w:rFonts w:ascii="Times New Roman" w:hAnsi="Times New Roman"/>
          <w:sz w:val="24"/>
          <w:szCs w:val="24"/>
        </w:rPr>
        <w:t>System informacji zarządczej z zakresu ryzyka płynności zawiera m.in. dane na temat:</w:t>
      </w:r>
    </w:p>
    <w:p w14:paraId="2A42D7B0"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struktury źródeł finansowania działalności Banku, ze szcze</w:t>
      </w:r>
      <w:r w:rsidR="00A743D9" w:rsidRPr="007401C9">
        <w:rPr>
          <w:rFonts w:ascii="Times New Roman" w:hAnsi="Times New Roman"/>
          <w:sz w:val="24"/>
          <w:szCs w:val="24"/>
        </w:rPr>
        <w:t>gólnym uwzględnieniem depozytów,</w:t>
      </w:r>
    </w:p>
    <w:p w14:paraId="615952D4"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stabilności źródeł finansowania działalności Banku, w tym oceny zagrożeń wynikających z nagłego wycofania depozytów internetowych i mobilnych, a także depozytów dla których Bank stosuje ponadprze</w:t>
      </w:r>
      <w:r w:rsidR="00A743D9" w:rsidRPr="007401C9">
        <w:rPr>
          <w:rFonts w:ascii="Times New Roman" w:hAnsi="Times New Roman"/>
          <w:sz w:val="24"/>
          <w:szCs w:val="24"/>
        </w:rPr>
        <w:t>ciętne stawki oprocentowania,</w:t>
      </w:r>
    </w:p>
    <w:p w14:paraId="3ACB6B54"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stopnia niedopasowania terminów płatności pozycji bilansowych i pozabilansowych;</w:t>
      </w:r>
    </w:p>
    <w:p w14:paraId="28E146F7"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wpływu pozycji pozabilansowych na poziom ryzyka płynności</w:t>
      </w:r>
      <w:r w:rsidR="00A743D9" w:rsidRPr="007401C9">
        <w:rPr>
          <w:rFonts w:ascii="Times New Roman" w:hAnsi="Times New Roman"/>
          <w:sz w:val="24"/>
          <w:szCs w:val="24"/>
        </w:rPr>
        <w:t>,</w:t>
      </w:r>
    </w:p>
    <w:p w14:paraId="656C3637"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poziomu aktywów nieobciążonych</w:t>
      </w:r>
      <w:r w:rsidR="00A743D9" w:rsidRPr="007401C9">
        <w:rPr>
          <w:rFonts w:ascii="Times New Roman" w:hAnsi="Times New Roman"/>
          <w:sz w:val="24"/>
          <w:szCs w:val="24"/>
        </w:rPr>
        <w:t>,</w:t>
      </w:r>
    </w:p>
    <w:p w14:paraId="0368B693"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analizy wskaźników płynności</w:t>
      </w:r>
      <w:r w:rsidR="00A743D9" w:rsidRPr="007401C9">
        <w:rPr>
          <w:rFonts w:ascii="Times New Roman" w:hAnsi="Times New Roman"/>
          <w:sz w:val="24"/>
          <w:szCs w:val="24"/>
        </w:rPr>
        <w:t>,</w:t>
      </w:r>
    </w:p>
    <w:p w14:paraId="6330C9AA"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wyników testów warunków skrajnych</w:t>
      </w:r>
      <w:r w:rsidR="00A743D9" w:rsidRPr="007401C9">
        <w:rPr>
          <w:rFonts w:ascii="Times New Roman" w:hAnsi="Times New Roman"/>
          <w:sz w:val="24"/>
          <w:szCs w:val="24"/>
        </w:rPr>
        <w:t>,</w:t>
      </w:r>
    </w:p>
    <w:p w14:paraId="61B57BA9"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ryzyka związanego z płynnością długoterminową</w:t>
      </w:r>
      <w:r w:rsidR="00A743D9" w:rsidRPr="007401C9">
        <w:rPr>
          <w:rFonts w:ascii="Times New Roman" w:hAnsi="Times New Roman"/>
          <w:sz w:val="24"/>
          <w:szCs w:val="24"/>
        </w:rPr>
        <w:t>,</w:t>
      </w:r>
    </w:p>
    <w:p w14:paraId="0A55FABC"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wyników testów warunków skrajnych</w:t>
      </w:r>
      <w:r w:rsidR="00A743D9" w:rsidRPr="007401C9">
        <w:rPr>
          <w:rFonts w:ascii="Times New Roman" w:hAnsi="Times New Roman"/>
          <w:sz w:val="24"/>
          <w:szCs w:val="24"/>
        </w:rPr>
        <w:t>,</w:t>
      </w:r>
    </w:p>
    <w:p w14:paraId="1F80A6D6" w14:textId="77777777" w:rsidR="008734DE" w:rsidRPr="007401C9" w:rsidRDefault="008734DE" w:rsidP="000C62C3">
      <w:pPr>
        <w:pStyle w:val="Akapitzlist"/>
        <w:numPr>
          <w:ilvl w:val="0"/>
          <w:numId w:val="24"/>
        </w:numPr>
        <w:autoSpaceDE w:val="0"/>
        <w:autoSpaceDN w:val="0"/>
        <w:adjustRightInd w:val="0"/>
        <w:spacing w:after="0" w:line="240" w:lineRule="auto"/>
        <w:ind w:left="426" w:hanging="426"/>
        <w:jc w:val="both"/>
        <w:rPr>
          <w:rFonts w:ascii="Times New Roman" w:hAnsi="Times New Roman"/>
          <w:sz w:val="24"/>
          <w:szCs w:val="24"/>
        </w:rPr>
      </w:pPr>
      <w:r w:rsidRPr="007401C9">
        <w:rPr>
          <w:rFonts w:ascii="Times New Roman" w:hAnsi="Times New Roman"/>
          <w:sz w:val="24"/>
          <w:szCs w:val="24"/>
        </w:rPr>
        <w:t>stopnia przestrzegania limitów.</w:t>
      </w:r>
    </w:p>
    <w:p w14:paraId="258D1D7C" w14:textId="77777777" w:rsidR="004C6DA0" w:rsidRPr="00ED417D" w:rsidRDefault="004C6DA0" w:rsidP="00236DB6">
      <w:pPr>
        <w:spacing w:after="0" w:line="240" w:lineRule="auto"/>
        <w:jc w:val="both"/>
        <w:rPr>
          <w:rFonts w:ascii="Times New Roman" w:hAnsi="Times New Roman" w:cs="Times New Roman"/>
          <w:color w:val="FF0000"/>
          <w:sz w:val="24"/>
          <w:szCs w:val="24"/>
        </w:rPr>
      </w:pPr>
    </w:p>
    <w:p w14:paraId="31B0EB4D" w14:textId="77777777" w:rsidR="00470FA6" w:rsidRPr="007401C9" w:rsidRDefault="0055450E"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7401C9">
        <w:rPr>
          <w:rFonts w:ascii="Century" w:hAnsi="Century" w:cs="Times New Roman"/>
          <w:b/>
          <w:sz w:val="24"/>
          <w:szCs w:val="24"/>
        </w:rPr>
        <w:t xml:space="preserve">Dźwignia finansowa </w:t>
      </w:r>
    </w:p>
    <w:p w14:paraId="6B3FA6DC" w14:textId="77777777" w:rsidR="006B2447" w:rsidRPr="00ED417D" w:rsidRDefault="006B2447" w:rsidP="00236DB6">
      <w:pPr>
        <w:spacing w:after="0" w:line="240" w:lineRule="auto"/>
        <w:rPr>
          <w:rFonts w:ascii="Times New Roman" w:hAnsi="Times New Roman" w:cs="Times New Roman"/>
          <w:color w:val="FF0000"/>
          <w:sz w:val="24"/>
          <w:szCs w:val="24"/>
        </w:rPr>
      </w:pPr>
    </w:p>
    <w:p w14:paraId="03F1477A" w14:textId="77777777" w:rsidR="00537572" w:rsidRPr="0022718A" w:rsidRDefault="00537572" w:rsidP="007401C9">
      <w:pPr>
        <w:spacing w:after="0" w:line="240" w:lineRule="auto"/>
        <w:jc w:val="both"/>
        <w:rPr>
          <w:rFonts w:ascii="Times New Roman" w:hAnsi="Times New Roman" w:cs="Times New Roman"/>
          <w:sz w:val="24"/>
          <w:szCs w:val="24"/>
        </w:rPr>
      </w:pPr>
      <w:r w:rsidRPr="0022718A">
        <w:rPr>
          <w:rFonts w:ascii="Times New Roman" w:hAnsi="Times New Roman" w:cs="Times New Roman"/>
          <w:sz w:val="24"/>
          <w:szCs w:val="24"/>
        </w:rPr>
        <w:t>Zgodnie z art. 429 ust. 2 Rozporządzenia CRR Bank mierzy ryzyko dźwigni finansowej poprzez obliczanie wskaźnika dźwigni finansowej liczonego jako wyrażony w procentach udział kapitału Tier I (miara kapitału) w aktywach według wartości bilansowej, powiększonych o łączną kwotę zobowiązań pozabilansowych udzielonych (miara ekspozycji całkowitej), przy czym:</w:t>
      </w:r>
    </w:p>
    <w:p w14:paraId="5A4FC90B" w14:textId="77777777" w:rsidR="00537572" w:rsidRPr="0022718A" w:rsidRDefault="00537572" w:rsidP="000C62C3">
      <w:pPr>
        <w:pStyle w:val="Akapitzlist"/>
        <w:numPr>
          <w:ilvl w:val="2"/>
          <w:numId w:val="17"/>
        </w:numPr>
        <w:spacing w:after="0" w:line="240" w:lineRule="auto"/>
        <w:jc w:val="both"/>
        <w:rPr>
          <w:rFonts w:ascii="Times New Roman" w:hAnsi="Times New Roman" w:cs="Times New Roman"/>
          <w:sz w:val="24"/>
          <w:szCs w:val="24"/>
        </w:rPr>
      </w:pPr>
      <w:r w:rsidRPr="0022718A">
        <w:rPr>
          <w:rFonts w:ascii="Times New Roman" w:hAnsi="Times New Roman" w:cs="Times New Roman"/>
          <w:sz w:val="24"/>
          <w:szCs w:val="24"/>
        </w:rPr>
        <w:lastRenderedPageBreak/>
        <w:t>w aktywach według wartości bilansowej Bank nie uwzględnia pozycji pomniejszających kapitał podstawowy i dodatkowy Tier I, w szczególności: wartości niematerialnych i prawnych pomniejszających kapitał podstawowy Tier I, udziałów kapitałowych pomniejszających kapitał podstawowy i dodatkowy Tier I, aktywów z tytułu podatku odroczonego opartych na przyszłej rentowności pomniejszających kapitał podstawowy Tier I;</w:t>
      </w:r>
    </w:p>
    <w:p w14:paraId="41E08DE7" w14:textId="77777777" w:rsidR="00537572" w:rsidRPr="0022718A" w:rsidRDefault="00537572" w:rsidP="000C62C3">
      <w:pPr>
        <w:pStyle w:val="Akapitzlist"/>
        <w:numPr>
          <w:ilvl w:val="2"/>
          <w:numId w:val="17"/>
        </w:numPr>
        <w:spacing w:after="0" w:line="240" w:lineRule="auto"/>
        <w:jc w:val="both"/>
        <w:rPr>
          <w:rFonts w:ascii="Times New Roman" w:hAnsi="Times New Roman" w:cs="Times New Roman"/>
          <w:sz w:val="24"/>
          <w:szCs w:val="24"/>
        </w:rPr>
      </w:pPr>
      <w:r w:rsidRPr="0022718A">
        <w:rPr>
          <w:rFonts w:ascii="Times New Roman" w:hAnsi="Times New Roman" w:cs="Times New Roman"/>
          <w:sz w:val="24"/>
          <w:szCs w:val="24"/>
        </w:rPr>
        <w:t xml:space="preserve">wartość ekspozycji pozabilansowych jest wyliczana od wartości nominalnej </w:t>
      </w:r>
      <w:r w:rsidR="00100017" w:rsidRPr="0022718A">
        <w:rPr>
          <w:rFonts w:ascii="Times New Roman" w:hAnsi="Times New Roman" w:cs="Times New Roman"/>
          <w:sz w:val="24"/>
          <w:szCs w:val="24"/>
        </w:rPr>
        <w:t>(bez uwzględniania korekt z tytułu rezerw celowych i odpisów aktualizujących odnoszących się do odsetek) z uwzględnieniem współczynników konwersji, z zastrzeżeniem dolnego limitu 10% dla pozycji pozabilansowych niskiego ryzyka</w:t>
      </w:r>
      <w:r w:rsidRPr="0022718A">
        <w:rPr>
          <w:rFonts w:ascii="Times New Roman" w:hAnsi="Times New Roman" w:cs="Times New Roman"/>
          <w:sz w:val="24"/>
          <w:szCs w:val="24"/>
        </w:rPr>
        <w:t xml:space="preserve"> </w:t>
      </w:r>
    </w:p>
    <w:p w14:paraId="5EB0A7C4" w14:textId="77777777" w:rsidR="00537572" w:rsidRPr="00ED417D" w:rsidRDefault="00537572" w:rsidP="00236DB6">
      <w:pPr>
        <w:spacing w:after="0" w:line="240" w:lineRule="auto"/>
        <w:rPr>
          <w:rFonts w:ascii="Times New Roman" w:hAnsi="Times New Roman" w:cs="Times New Roman"/>
          <w:color w:val="FF0000"/>
          <w:sz w:val="24"/>
          <w:szCs w:val="24"/>
        </w:rPr>
      </w:pPr>
    </w:p>
    <w:p w14:paraId="3A20E3AB" w14:textId="77777777" w:rsidR="00A50B3D" w:rsidRPr="00E3701F" w:rsidRDefault="00A50B3D" w:rsidP="000C62C3">
      <w:pPr>
        <w:pStyle w:val="Akapitzlist"/>
        <w:numPr>
          <w:ilvl w:val="6"/>
          <w:numId w:val="17"/>
        </w:numPr>
        <w:spacing w:after="0" w:line="240" w:lineRule="auto"/>
        <w:ind w:left="426" w:hanging="426"/>
        <w:jc w:val="both"/>
        <w:rPr>
          <w:rFonts w:ascii="Times New Roman" w:hAnsi="Times New Roman" w:cs="Times New Roman"/>
          <w:sz w:val="24"/>
          <w:szCs w:val="24"/>
        </w:rPr>
      </w:pPr>
      <w:r w:rsidRPr="00E3701F">
        <w:rPr>
          <w:rFonts w:ascii="Times New Roman" w:hAnsi="Times New Roman" w:cs="Times New Roman"/>
          <w:sz w:val="24"/>
          <w:szCs w:val="24"/>
        </w:rPr>
        <w:t>Zestawienie dotyczące uzgodnienia aktywów księgowych i ekspozycji wskaźnika dźwigni</w:t>
      </w:r>
    </w:p>
    <w:tbl>
      <w:tblPr>
        <w:tblStyle w:val="Jasnasiatk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904"/>
        <w:gridCol w:w="2451"/>
      </w:tblGrid>
      <w:tr w:rsidR="00E3701F" w:rsidRPr="00E3701F" w14:paraId="3EAAB3E9" w14:textId="77777777" w:rsidTr="001B5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shd w:val="clear" w:color="auto" w:fill="D9D9D9" w:themeFill="background1" w:themeFillShade="D9"/>
          </w:tcPr>
          <w:p w14:paraId="1ACAEC51" w14:textId="77777777" w:rsidR="00A50B3D" w:rsidRPr="00E3701F" w:rsidRDefault="00F2212E" w:rsidP="00236DB6">
            <w:pPr>
              <w:jc w:val="both"/>
              <w:rPr>
                <w:rFonts w:ascii="Times New Roman" w:hAnsi="Times New Roman" w:cs="Times New Roman"/>
                <w:i/>
                <w:sz w:val="20"/>
                <w:szCs w:val="20"/>
              </w:rPr>
            </w:pPr>
            <w:r w:rsidRPr="00E3701F">
              <w:rPr>
                <w:rFonts w:ascii="Times New Roman" w:hAnsi="Times New Roman" w:cs="Times New Roman"/>
                <w:i/>
                <w:sz w:val="20"/>
                <w:szCs w:val="20"/>
              </w:rPr>
              <w:t>Lp.</w:t>
            </w:r>
            <w:r w:rsidR="00A93F26" w:rsidRPr="00E3701F">
              <w:rPr>
                <w:rFonts w:ascii="Times New Roman" w:hAnsi="Times New Roman" w:cs="Times New Roman"/>
                <w:i/>
                <w:sz w:val="20"/>
                <w:szCs w:val="20"/>
              </w:rPr>
              <w:t>*</w:t>
            </w:r>
          </w:p>
        </w:tc>
        <w:tc>
          <w:tcPr>
            <w:tcW w:w="6074" w:type="dxa"/>
            <w:shd w:val="clear" w:color="auto" w:fill="D9D9D9" w:themeFill="background1" w:themeFillShade="D9"/>
          </w:tcPr>
          <w:p w14:paraId="75D8A70E" w14:textId="77777777" w:rsidR="00A50B3D" w:rsidRPr="00E3701F" w:rsidRDefault="00F2212E" w:rsidP="00236DB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3701F">
              <w:rPr>
                <w:rFonts w:ascii="Times New Roman" w:hAnsi="Times New Roman" w:cs="Times New Roman"/>
                <w:i/>
                <w:sz w:val="20"/>
                <w:szCs w:val="20"/>
              </w:rPr>
              <w:t>Pozycja</w:t>
            </w:r>
          </w:p>
        </w:tc>
        <w:tc>
          <w:tcPr>
            <w:tcW w:w="2517" w:type="dxa"/>
            <w:shd w:val="clear" w:color="auto" w:fill="D9D9D9" w:themeFill="background1" w:themeFillShade="D9"/>
          </w:tcPr>
          <w:p w14:paraId="138DB6CE" w14:textId="77777777" w:rsidR="00A50B3D" w:rsidRPr="00E3701F" w:rsidRDefault="00A50B3D" w:rsidP="00F2212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3701F">
              <w:rPr>
                <w:rFonts w:ascii="Times New Roman" w:hAnsi="Times New Roman" w:cs="Times New Roman"/>
                <w:i/>
                <w:sz w:val="20"/>
                <w:szCs w:val="20"/>
              </w:rPr>
              <w:t xml:space="preserve">Kwota </w:t>
            </w:r>
          </w:p>
        </w:tc>
      </w:tr>
      <w:tr w:rsidR="00E3701F" w:rsidRPr="00E3701F" w14:paraId="66C6D1B8" w14:textId="77777777" w:rsidTr="001B5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shd w:val="clear" w:color="auto" w:fill="auto"/>
          </w:tcPr>
          <w:p w14:paraId="35C4B887"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1</w:t>
            </w:r>
          </w:p>
        </w:tc>
        <w:tc>
          <w:tcPr>
            <w:tcW w:w="6074" w:type="dxa"/>
            <w:shd w:val="clear" w:color="auto" w:fill="auto"/>
          </w:tcPr>
          <w:p w14:paraId="56E7E670"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Aktywa razem według opublikowanych sprawozdań finansowych</w:t>
            </w:r>
          </w:p>
        </w:tc>
        <w:tc>
          <w:tcPr>
            <w:tcW w:w="2517" w:type="dxa"/>
            <w:shd w:val="clear" w:color="auto" w:fill="auto"/>
          </w:tcPr>
          <w:p w14:paraId="198036E6" w14:textId="18EE26AF" w:rsidR="00A50B3D" w:rsidRPr="00E3701F" w:rsidRDefault="00E3701F" w:rsidP="00B56D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126 213</w:t>
            </w:r>
          </w:p>
        </w:tc>
      </w:tr>
      <w:tr w:rsidR="00E3701F" w:rsidRPr="00E3701F" w14:paraId="69651CE7" w14:textId="77777777" w:rsidTr="001B5A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shd w:val="clear" w:color="auto" w:fill="auto"/>
          </w:tcPr>
          <w:p w14:paraId="74687A93"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6</w:t>
            </w:r>
          </w:p>
        </w:tc>
        <w:tc>
          <w:tcPr>
            <w:tcW w:w="6074" w:type="dxa"/>
            <w:shd w:val="clear" w:color="auto" w:fill="auto"/>
          </w:tcPr>
          <w:p w14:paraId="67334778"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Korekta z tytułu pozycji pozabilansowych (tj. konwersja na kwoty ekwiwalentu kredytowego ekspozycji pozabilansowych)</w:t>
            </w:r>
          </w:p>
        </w:tc>
        <w:tc>
          <w:tcPr>
            <w:tcW w:w="2517" w:type="dxa"/>
            <w:shd w:val="clear" w:color="auto" w:fill="auto"/>
          </w:tcPr>
          <w:p w14:paraId="3549C05A" w14:textId="5D90BFE3" w:rsidR="00A50B3D" w:rsidRPr="00E3701F" w:rsidRDefault="00B56DA2"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w:t>
            </w:r>
          </w:p>
        </w:tc>
      </w:tr>
      <w:tr w:rsidR="00E3701F" w:rsidRPr="00E3701F" w14:paraId="78F455E8" w14:textId="77777777" w:rsidTr="001B5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shd w:val="clear" w:color="auto" w:fill="auto"/>
          </w:tcPr>
          <w:p w14:paraId="6712AC72"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7</w:t>
            </w:r>
          </w:p>
        </w:tc>
        <w:tc>
          <w:tcPr>
            <w:tcW w:w="6074" w:type="dxa"/>
            <w:shd w:val="clear" w:color="auto" w:fill="auto"/>
          </w:tcPr>
          <w:p w14:paraId="526E8C25"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Inne korekty</w:t>
            </w:r>
          </w:p>
        </w:tc>
        <w:tc>
          <w:tcPr>
            <w:tcW w:w="2517" w:type="dxa"/>
            <w:shd w:val="clear" w:color="auto" w:fill="auto"/>
          </w:tcPr>
          <w:p w14:paraId="76035582" w14:textId="570F0F37" w:rsidR="00A50B3D" w:rsidRPr="00E3701F" w:rsidRDefault="00E3701F" w:rsidP="00B56D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E3701F">
              <w:rPr>
                <w:rFonts w:ascii="Times New Roman" w:hAnsi="Times New Roman" w:cs="Times New Roman"/>
                <w:iCs/>
                <w:sz w:val="20"/>
                <w:szCs w:val="20"/>
              </w:rPr>
              <w:t>1 718</w:t>
            </w:r>
          </w:p>
        </w:tc>
      </w:tr>
      <w:tr w:rsidR="00E3701F" w:rsidRPr="00E3701F" w14:paraId="73613F4A" w14:textId="77777777" w:rsidTr="001B5A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shd w:val="clear" w:color="auto" w:fill="auto"/>
          </w:tcPr>
          <w:p w14:paraId="5090A4E2"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8</w:t>
            </w:r>
          </w:p>
        </w:tc>
        <w:tc>
          <w:tcPr>
            <w:tcW w:w="6074" w:type="dxa"/>
            <w:shd w:val="clear" w:color="auto" w:fill="auto"/>
          </w:tcPr>
          <w:p w14:paraId="581258D4"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Miara ekspozycji całkowitej składającej się na wskaźnik dźwigni</w:t>
            </w:r>
          </w:p>
        </w:tc>
        <w:tc>
          <w:tcPr>
            <w:tcW w:w="2517" w:type="dxa"/>
            <w:shd w:val="clear" w:color="auto" w:fill="auto"/>
          </w:tcPr>
          <w:p w14:paraId="52E697FA" w14:textId="223D8F3D" w:rsidR="00A50B3D" w:rsidRPr="00E3701F" w:rsidRDefault="00B56DA2"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z w:val="20"/>
                <w:szCs w:val="20"/>
              </w:rPr>
            </w:pPr>
            <w:r w:rsidRPr="00E3701F">
              <w:rPr>
                <w:rFonts w:ascii="Times New Roman" w:hAnsi="Times New Roman" w:cs="Times New Roman"/>
                <w:iCs/>
                <w:sz w:val="20"/>
                <w:szCs w:val="20"/>
              </w:rPr>
              <w:t>1</w:t>
            </w:r>
            <w:r w:rsidR="00E3701F" w:rsidRPr="00E3701F">
              <w:rPr>
                <w:rFonts w:ascii="Times New Roman" w:hAnsi="Times New Roman" w:cs="Times New Roman"/>
                <w:iCs/>
                <w:sz w:val="20"/>
                <w:szCs w:val="20"/>
              </w:rPr>
              <w:t>27931</w:t>
            </w:r>
          </w:p>
        </w:tc>
      </w:tr>
    </w:tbl>
    <w:p w14:paraId="74C5E22E" w14:textId="77777777" w:rsidR="006844BB" w:rsidRPr="00E3701F" w:rsidRDefault="00A93F26" w:rsidP="00A93F26">
      <w:pPr>
        <w:pStyle w:val="Akapitzlist"/>
        <w:spacing w:after="0" w:line="240" w:lineRule="auto"/>
        <w:ind w:left="0"/>
        <w:jc w:val="both"/>
        <w:rPr>
          <w:rFonts w:ascii="Times New Roman" w:hAnsi="Times New Roman" w:cs="Times New Roman"/>
          <w:i/>
          <w:sz w:val="18"/>
          <w:szCs w:val="18"/>
        </w:rPr>
      </w:pPr>
      <w:r w:rsidRPr="00E3701F">
        <w:rPr>
          <w:rFonts w:ascii="Times New Roman" w:hAnsi="Times New Roman" w:cs="Times New Roman"/>
          <w:sz w:val="18"/>
          <w:szCs w:val="18"/>
        </w:rPr>
        <w:t xml:space="preserve">*) </w:t>
      </w:r>
      <w:r w:rsidRPr="00E3701F">
        <w:rPr>
          <w:rFonts w:ascii="Times New Roman" w:hAnsi="Times New Roman" w:cs="Times New Roman"/>
          <w:i/>
          <w:sz w:val="18"/>
          <w:szCs w:val="18"/>
        </w:rPr>
        <w:t xml:space="preserve">numeracja zgodna z Rozporządzeniem wykonawczym Komisji (UE) </w:t>
      </w:r>
      <w:r w:rsidR="006844BB" w:rsidRPr="00E3701F">
        <w:rPr>
          <w:rFonts w:ascii="Times New Roman" w:hAnsi="Times New Roman" w:cs="Times New Roman"/>
          <w:i/>
          <w:sz w:val="18"/>
          <w:szCs w:val="18"/>
        </w:rPr>
        <w:t>nr 2016/200 z dnia 15 lutego 2016 roku ustanawiającym standardy techniczne w odniesieniu do ujawniania informacji na temat wskaźnika dźwigni instytucj</w:t>
      </w:r>
      <w:r w:rsidR="00E311AC" w:rsidRPr="00E3701F">
        <w:rPr>
          <w:rFonts w:ascii="Times New Roman" w:hAnsi="Times New Roman" w:cs="Times New Roman"/>
          <w:i/>
          <w:sz w:val="18"/>
          <w:szCs w:val="18"/>
        </w:rPr>
        <w:t>i</w:t>
      </w:r>
    </w:p>
    <w:p w14:paraId="6682F8EB" w14:textId="77777777" w:rsidR="00A50B3D" w:rsidRPr="00E3701F" w:rsidRDefault="00A50B3D" w:rsidP="00236DB6">
      <w:pPr>
        <w:spacing w:after="0" w:line="240" w:lineRule="auto"/>
        <w:ind w:left="360"/>
        <w:jc w:val="both"/>
        <w:rPr>
          <w:rFonts w:ascii="Times New Roman" w:hAnsi="Times New Roman" w:cs="Times New Roman"/>
          <w:i/>
          <w:sz w:val="18"/>
          <w:szCs w:val="18"/>
        </w:rPr>
      </w:pPr>
    </w:p>
    <w:p w14:paraId="4994331A" w14:textId="77777777" w:rsidR="00A50B3D" w:rsidRPr="00E3701F" w:rsidRDefault="00531FEA" w:rsidP="000C62C3">
      <w:pPr>
        <w:pStyle w:val="Akapitzlist"/>
        <w:numPr>
          <w:ilvl w:val="6"/>
          <w:numId w:val="17"/>
        </w:numPr>
        <w:spacing w:after="0" w:line="240" w:lineRule="auto"/>
        <w:ind w:left="426" w:hanging="426"/>
        <w:jc w:val="both"/>
        <w:rPr>
          <w:rFonts w:ascii="Times New Roman" w:hAnsi="Times New Roman" w:cs="Times New Roman"/>
          <w:sz w:val="24"/>
          <w:szCs w:val="24"/>
        </w:rPr>
      </w:pPr>
      <w:r w:rsidRPr="00E3701F">
        <w:rPr>
          <w:rFonts w:ascii="Times New Roman" w:hAnsi="Times New Roman" w:cs="Times New Roman"/>
          <w:sz w:val="24"/>
          <w:szCs w:val="24"/>
        </w:rPr>
        <w:t>U</w:t>
      </w:r>
      <w:r w:rsidR="00A50B3D" w:rsidRPr="00E3701F">
        <w:rPr>
          <w:rFonts w:ascii="Times New Roman" w:hAnsi="Times New Roman" w:cs="Times New Roman"/>
          <w:sz w:val="24"/>
          <w:szCs w:val="24"/>
        </w:rPr>
        <w:t>jawnienie wskaźnika dźwigni</w:t>
      </w:r>
    </w:p>
    <w:tbl>
      <w:tblPr>
        <w:tblStyle w:val="Jasnasiatk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925"/>
        <w:gridCol w:w="2405"/>
      </w:tblGrid>
      <w:tr w:rsidR="00E3701F" w:rsidRPr="00E3701F" w14:paraId="0B8DBA7F" w14:textId="77777777" w:rsidTr="000D1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D9D9D9" w:themeFill="background1" w:themeFillShade="D9"/>
            <w:vAlign w:val="center"/>
          </w:tcPr>
          <w:p w14:paraId="55793D38" w14:textId="77777777" w:rsidR="00A50B3D" w:rsidRPr="00E3701F" w:rsidRDefault="000D1ADF" w:rsidP="000D1ADF">
            <w:pPr>
              <w:rPr>
                <w:rFonts w:ascii="Times New Roman" w:hAnsi="Times New Roman" w:cs="Times New Roman"/>
                <w:i/>
                <w:sz w:val="20"/>
                <w:szCs w:val="20"/>
              </w:rPr>
            </w:pPr>
            <w:r w:rsidRPr="00E3701F">
              <w:rPr>
                <w:rFonts w:ascii="Times New Roman" w:hAnsi="Times New Roman" w:cs="Times New Roman"/>
                <w:i/>
                <w:sz w:val="20"/>
                <w:szCs w:val="20"/>
              </w:rPr>
              <w:t>Lp.</w:t>
            </w:r>
          </w:p>
        </w:tc>
        <w:tc>
          <w:tcPr>
            <w:tcW w:w="6096" w:type="dxa"/>
            <w:shd w:val="clear" w:color="auto" w:fill="D9D9D9" w:themeFill="background1" w:themeFillShade="D9"/>
            <w:vAlign w:val="center"/>
          </w:tcPr>
          <w:p w14:paraId="272E5FD7" w14:textId="77777777" w:rsidR="00A50B3D" w:rsidRPr="00E3701F" w:rsidRDefault="000D1ADF" w:rsidP="000D1A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3701F">
              <w:rPr>
                <w:rFonts w:ascii="Times New Roman" w:hAnsi="Times New Roman" w:cs="Times New Roman"/>
                <w:i/>
                <w:sz w:val="20"/>
                <w:szCs w:val="20"/>
              </w:rPr>
              <w:t>Pozycja</w:t>
            </w:r>
          </w:p>
        </w:tc>
        <w:tc>
          <w:tcPr>
            <w:tcW w:w="2441" w:type="dxa"/>
            <w:shd w:val="clear" w:color="auto" w:fill="D9D9D9" w:themeFill="background1" w:themeFillShade="D9"/>
            <w:vAlign w:val="center"/>
          </w:tcPr>
          <w:p w14:paraId="391F946C" w14:textId="77777777" w:rsidR="00A50B3D" w:rsidRPr="00E3701F" w:rsidRDefault="00A50B3D" w:rsidP="000D1A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3701F">
              <w:rPr>
                <w:rFonts w:ascii="Times New Roman" w:hAnsi="Times New Roman" w:cs="Times New Roman"/>
                <w:i/>
                <w:sz w:val="20"/>
                <w:szCs w:val="20"/>
              </w:rPr>
              <w:t>Ekspozycje wskaźnika dźwigni określone w rozporządzeniu w sprawie wymogów kapitałowych</w:t>
            </w:r>
          </w:p>
        </w:tc>
      </w:tr>
      <w:tr w:rsidR="00E3701F" w:rsidRPr="00E3701F" w14:paraId="248802E9" w14:textId="77777777" w:rsidTr="00531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gridSpan w:val="3"/>
            <w:shd w:val="clear" w:color="auto" w:fill="BFBFBF" w:themeFill="background1" w:themeFillShade="BF"/>
          </w:tcPr>
          <w:p w14:paraId="573843A5"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Ekspozycje bilansowe (z wyłączeniem instrumentów pochodnych, transakcji finansowanych z użyciem papierów wartościowych i aktywów powierniczych)</w:t>
            </w:r>
          </w:p>
        </w:tc>
      </w:tr>
      <w:tr w:rsidR="00E3701F" w:rsidRPr="00E3701F" w14:paraId="761058CB" w14:textId="77777777" w:rsidTr="000D1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10E462B0"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1</w:t>
            </w:r>
          </w:p>
        </w:tc>
        <w:tc>
          <w:tcPr>
            <w:tcW w:w="6096" w:type="dxa"/>
            <w:shd w:val="clear" w:color="auto" w:fill="auto"/>
          </w:tcPr>
          <w:p w14:paraId="24AABCB3"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Pozycje bilansowe (z wyłączeniem instrumentów pochodnych, transakcji finansowanych z użyciem papierów wartościowych i aktywów powierniczych ale z uwzględnieniem zabezpieczenia)</w:t>
            </w:r>
          </w:p>
        </w:tc>
        <w:tc>
          <w:tcPr>
            <w:tcW w:w="2441" w:type="dxa"/>
            <w:shd w:val="clear" w:color="auto" w:fill="auto"/>
          </w:tcPr>
          <w:p w14:paraId="4515F2CC" w14:textId="7B02FA85" w:rsidR="00A50B3D" w:rsidRPr="00E3701F" w:rsidRDefault="000E458C"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w:t>
            </w:r>
            <w:r w:rsidR="00E3701F" w:rsidRPr="00E3701F">
              <w:rPr>
                <w:rFonts w:ascii="Times New Roman" w:hAnsi="Times New Roman" w:cs="Times New Roman"/>
                <w:sz w:val="20"/>
                <w:szCs w:val="20"/>
              </w:rPr>
              <w:t>26 213</w:t>
            </w:r>
          </w:p>
        </w:tc>
      </w:tr>
      <w:tr w:rsidR="00E3701F" w:rsidRPr="00E3701F" w14:paraId="120216FB" w14:textId="77777777" w:rsidTr="000D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6C2B5808"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2</w:t>
            </w:r>
          </w:p>
        </w:tc>
        <w:tc>
          <w:tcPr>
            <w:tcW w:w="6096" w:type="dxa"/>
            <w:shd w:val="clear" w:color="auto" w:fill="auto"/>
          </w:tcPr>
          <w:p w14:paraId="55DD2783"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(Kwoty aktywów odliczane przy ustalaniu kapitału Tier I)</w:t>
            </w:r>
          </w:p>
        </w:tc>
        <w:tc>
          <w:tcPr>
            <w:tcW w:w="2441" w:type="dxa"/>
            <w:shd w:val="clear" w:color="auto" w:fill="auto"/>
          </w:tcPr>
          <w:p w14:paraId="2041A921" w14:textId="232C4BB8" w:rsidR="00A50B3D" w:rsidRPr="00E3701F" w:rsidRDefault="000E458C" w:rsidP="00B56D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w:t>
            </w:r>
          </w:p>
        </w:tc>
      </w:tr>
      <w:tr w:rsidR="00E3701F" w:rsidRPr="00E3701F" w14:paraId="2B813979" w14:textId="77777777" w:rsidTr="000D1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7538534D"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3</w:t>
            </w:r>
          </w:p>
        </w:tc>
        <w:tc>
          <w:tcPr>
            <w:tcW w:w="6096" w:type="dxa"/>
            <w:shd w:val="clear" w:color="auto" w:fill="auto"/>
          </w:tcPr>
          <w:p w14:paraId="0CE0B30D"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Całkowite ekspozycje bilansowe (z wyłączeniem instrumentów pochodnych, transakcji finansowanych z użyciem papierów wartościowych i aktywów powierniczych) (suma wierszy 1 i 2)</w:t>
            </w:r>
          </w:p>
        </w:tc>
        <w:tc>
          <w:tcPr>
            <w:tcW w:w="2441" w:type="dxa"/>
            <w:shd w:val="clear" w:color="auto" w:fill="auto"/>
          </w:tcPr>
          <w:p w14:paraId="2341B9CA" w14:textId="1BFF284A" w:rsidR="00A50B3D" w:rsidRPr="00E3701F" w:rsidRDefault="000E458C"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1</w:t>
            </w:r>
            <w:r w:rsidR="00E3701F" w:rsidRPr="00E3701F">
              <w:rPr>
                <w:rFonts w:ascii="Times New Roman" w:hAnsi="Times New Roman" w:cs="Times New Roman"/>
                <w:b/>
                <w:sz w:val="20"/>
                <w:szCs w:val="20"/>
              </w:rPr>
              <w:t>26 213</w:t>
            </w:r>
          </w:p>
        </w:tc>
      </w:tr>
      <w:tr w:rsidR="00E3701F" w:rsidRPr="00E3701F" w14:paraId="24E317AA" w14:textId="77777777" w:rsidTr="00531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gridSpan w:val="3"/>
            <w:shd w:val="clear" w:color="auto" w:fill="BFBFBF" w:themeFill="background1" w:themeFillShade="BF"/>
          </w:tcPr>
          <w:p w14:paraId="1786AE8D" w14:textId="77777777" w:rsidR="00A50B3D" w:rsidRPr="00E3701F" w:rsidRDefault="00A50B3D" w:rsidP="00B56DA2">
            <w:pPr>
              <w:jc w:val="right"/>
              <w:rPr>
                <w:rFonts w:ascii="Times New Roman" w:hAnsi="Times New Roman" w:cs="Times New Roman"/>
                <w:b w:val="0"/>
                <w:sz w:val="20"/>
                <w:szCs w:val="20"/>
              </w:rPr>
            </w:pPr>
            <w:r w:rsidRPr="00E3701F">
              <w:rPr>
                <w:rFonts w:ascii="Times New Roman" w:hAnsi="Times New Roman" w:cs="Times New Roman"/>
                <w:b w:val="0"/>
                <w:sz w:val="20"/>
                <w:szCs w:val="20"/>
              </w:rPr>
              <w:t>Inne pozycje pozabilansowe</w:t>
            </w:r>
          </w:p>
        </w:tc>
      </w:tr>
      <w:tr w:rsidR="00E3701F" w:rsidRPr="00E3701F" w14:paraId="098F9AC0" w14:textId="77777777" w:rsidTr="000D1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370F9054"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17</w:t>
            </w:r>
          </w:p>
        </w:tc>
        <w:tc>
          <w:tcPr>
            <w:tcW w:w="6096" w:type="dxa"/>
            <w:shd w:val="clear" w:color="auto" w:fill="auto"/>
          </w:tcPr>
          <w:p w14:paraId="6B20A980"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pozabilansowe wyrażone wartością nominalną brutto</w:t>
            </w:r>
          </w:p>
        </w:tc>
        <w:tc>
          <w:tcPr>
            <w:tcW w:w="2441" w:type="dxa"/>
            <w:shd w:val="clear" w:color="auto" w:fill="auto"/>
          </w:tcPr>
          <w:p w14:paraId="5F137C2C" w14:textId="73A50D2B" w:rsidR="00A50B3D" w:rsidRPr="00E3701F" w:rsidRDefault="00E3701F"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1718</w:t>
            </w:r>
          </w:p>
        </w:tc>
      </w:tr>
      <w:tr w:rsidR="00E3701F" w:rsidRPr="00E3701F" w14:paraId="147EA965" w14:textId="77777777" w:rsidTr="000D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65306767"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18</w:t>
            </w:r>
          </w:p>
        </w:tc>
        <w:tc>
          <w:tcPr>
            <w:tcW w:w="6096" w:type="dxa"/>
            <w:shd w:val="clear" w:color="auto" w:fill="auto"/>
          </w:tcPr>
          <w:p w14:paraId="0CFBC857"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(Korekty z tytułu konwersji na kwoty ekwiwalentu kredytowego)</w:t>
            </w:r>
          </w:p>
        </w:tc>
        <w:tc>
          <w:tcPr>
            <w:tcW w:w="2441" w:type="dxa"/>
            <w:shd w:val="clear" w:color="auto" w:fill="auto"/>
          </w:tcPr>
          <w:p w14:paraId="324176FD" w14:textId="2E3A117C" w:rsidR="00A50B3D" w:rsidRPr="00E3701F" w:rsidRDefault="000E458C" w:rsidP="00B56D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w:t>
            </w:r>
          </w:p>
        </w:tc>
      </w:tr>
      <w:tr w:rsidR="00E3701F" w:rsidRPr="00E3701F" w14:paraId="0AE06C17" w14:textId="77777777" w:rsidTr="000D1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5A35473B"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19</w:t>
            </w:r>
          </w:p>
        </w:tc>
        <w:tc>
          <w:tcPr>
            <w:tcW w:w="6096" w:type="dxa"/>
            <w:shd w:val="clear" w:color="auto" w:fill="auto"/>
          </w:tcPr>
          <w:p w14:paraId="48FA7D79"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Inne ekspozycje pozabilansowe (suma wierszy 17-18)</w:t>
            </w:r>
          </w:p>
        </w:tc>
        <w:tc>
          <w:tcPr>
            <w:tcW w:w="2441" w:type="dxa"/>
            <w:shd w:val="clear" w:color="auto" w:fill="auto"/>
          </w:tcPr>
          <w:p w14:paraId="4CAC5908" w14:textId="71BB3C2B" w:rsidR="00A50B3D" w:rsidRPr="00E3701F" w:rsidRDefault="00E3701F"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1718</w:t>
            </w:r>
          </w:p>
        </w:tc>
      </w:tr>
      <w:tr w:rsidR="00E3701F" w:rsidRPr="00E3701F" w14:paraId="22A163C1" w14:textId="77777777" w:rsidTr="00531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gridSpan w:val="3"/>
            <w:shd w:val="clear" w:color="auto" w:fill="A6A6A6" w:themeFill="background1" w:themeFillShade="A6"/>
          </w:tcPr>
          <w:p w14:paraId="5E9F5C36" w14:textId="77777777" w:rsidR="00A50B3D" w:rsidRPr="00E3701F" w:rsidRDefault="00A50B3D" w:rsidP="00B56DA2">
            <w:pPr>
              <w:jc w:val="right"/>
              <w:rPr>
                <w:rFonts w:ascii="Times New Roman" w:hAnsi="Times New Roman" w:cs="Times New Roman"/>
                <w:b w:val="0"/>
                <w:sz w:val="20"/>
                <w:szCs w:val="20"/>
              </w:rPr>
            </w:pPr>
            <w:r w:rsidRPr="00E3701F">
              <w:rPr>
                <w:rFonts w:ascii="Times New Roman" w:hAnsi="Times New Roman" w:cs="Times New Roman"/>
                <w:b w:val="0"/>
                <w:sz w:val="20"/>
                <w:szCs w:val="20"/>
              </w:rPr>
              <w:t>Kapitał i miara ekspozycji całkowitej</w:t>
            </w:r>
          </w:p>
        </w:tc>
      </w:tr>
      <w:tr w:rsidR="00E3701F" w:rsidRPr="00E3701F" w14:paraId="60925936" w14:textId="77777777" w:rsidTr="000D1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247C9850"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20</w:t>
            </w:r>
          </w:p>
        </w:tc>
        <w:tc>
          <w:tcPr>
            <w:tcW w:w="6096" w:type="dxa"/>
            <w:shd w:val="clear" w:color="auto" w:fill="auto"/>
          </w:tcPr>
          <w:p w14:paraId="5AEC0D8D" w14:textId="77777777" w:rsidR="00A50B3D" w:rsidRPr="00E3701F" w:rsidRDefault="00A50B3D" w:rsidP="00236DB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Kapitał Tier I</w:t>
            </w:r>
          </w:p>
        </w:tc>
        <w:tc>
          <w:tcPr>
            <w:tcW w:w="2441" w:type="dxa"/>
            <w:shd w:val="clear" w:color="auto" w:fill="auto"/>
          </w:tcPr>
          <w:p w14:paraId="2CD0C7EB" w14:textId="51208E57" w:rsidR="00A50B3D" w:rsidRPr="00E3701F" w:rsidRDefault="00E3701F" w:rsidP="00B56DA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10 250</w:t>
            </w:r>
          </w:p>
        </w:tc>
      </w:tr>
      <w:tr w:rsidR="00E3701F" w:rsidRPr="00E3701F" w14:paraId="0389AA07" w14:textId="77777777" w:rsidTr="000D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69755A76"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21</w:t>
            </w:r>
          </w:p>
        </w:tc>
        <w:tc>
          <w:tcPr>
            <w:tcW w:w="6096" w:type="dxa"/>
            <w:shd w:val="clear" w:color="auto" w:fill="auto"/>
          </w:tcPr>
          <w:p w14:paraId="561C45A5"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Miara ekspozycji całkowitej składającej się na wskaźnik dźwigni (suma wierszy 3, 11, 16, 19, EU-19a, EU-19b</w:t>
            </w:r>
          </w:p>
        </w:tc>
        <w:tc>
          <w:tcPr>
            <w:tcW w:w="2441" w:type="dxa"/>
            <w:shd w:val="clear" w:color="auto" w:fill="auto"/>
          </w:tcPr>
          <w:p w14:paraId="15A8B08C" w14:textId="3B6C5BCA" w:rsidR="00A50B3D" w:rsidRPr="00E3701F" w:rsidRDefault="00137E9C" w:rsidP="00B56D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w:t>
            </w:r>
            <w:r w:rsidR="00E3701F" w:rsidRPr="00E3701F">
              <w:rPr>
                <w:rFonts w:ascii="Times New Roman" w:hAnsi="Times New Roman" w:cs="Times New Roman"/>
                <w:sz w:val="20"/>
                <w:szCs w:val="20"/>
              </w:rPr>
              <w:t>27 931</w:t>
            </w:r>
          </w:p>
        </w:tc>
      </w:tr>
      <w:tr w:rsidR="00E3701F" w:rsidRPr="00E3701F" w14:paraId="39D9E357" w14:textId="77777777" w:rsidTr="00531F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gridSpan w:val="3"/>
            <w:shd w:val="clear" w:color="auto" w:fill="A6A6A6" w:themeFill="background1" w:themeFillShade="A6"/>
          </w:tcPr>
          <w:p w14:paraId="534C86BD"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Wskaźnik dźwigni</w:t>
            </w:r>
          </w:p>
        </w:tc>
      </w:tr>
      <w:tr w:rsidR="00E3701F" w:rsidRPr="00E3701F" w14:paraId="203F56B0" w14:textId="77777777" w:rsidTr="000D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shd w:val="clear" w:color="auto" w:fill="auto"/>
          </w:tcPr>
          <w:p w14:paraId="76F362E9" w14:textId="77777777" w:rsidR="00A50B3D" w:rsidRPr="00E3701F" w:rsidRDefault="00A50B3D"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22</w:t>
            </w:r>
          </w:p>
        </w:tc>
        <w:tc>
          <w:tcPr>
            <w:tcW w:w="6096" w:type="dxa"/>
            <w:shd w:val="clear" w:color="auto" w:fill="auto"/>
          </w:tcPr>
          <w:p w14:paraId="72266A78" w14:textId="77777777" w:rsidR="00A50B3D" w:rsidRPr="00E3701F" w:rsidRDefault="00A50B3D"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Wskaźnik dźwigni</w:t>
            </w:r>
          </w:p>
        </w:tc>
        <w:tc>
          <w:tcPr>
            <w:tcW w:w="2441" w:type="dxa"/>
            <w:shd w:val="clear" w:color="auto" w:fill="auto"/>
          </w:tcPr>
          <w:p w14:paraId="46CF781A" w14:textId="4F70A84C" w:rsidR="00A50B3D" w:rsidRPr="00E3701F" w:rsidRDefault="00137E9C" w:rsidP="00137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8,</w:t>
            </w:r>
            <w:r w:rsidR="00E3701F" w:rsidRPr="00E3701F">
              <w:rPr>
                <w:rFonts w:ascii="Times New Roman" w:hAnsi="Times New Roman" w:cs="Times New Roman"/>
                <w:sz w:val="20"/>
                <w:szCs w:val="20"/>
              </w:rPr>
              <w:t>01</w:t>
            </w:r>
            <w:r w:rsidRPr="00E3701F">
              <w:rPr>
                <w:rFonts w:ascii="Times New Roman" w:hAnsi="Times New Roman" w:cs="Times New Roman"/>
                <w:sz w:val="20"/>
                <w:szCs w:val="20"/>
              </w:rPr>
              <w:t>%</w:t>
            </w:r>
          </w:p>
        </w:tc>
      </w:tr>
    </w:tbl>
    <w:p w14:paraId="6C307174" w14:textId="77777777" w:rsidR="0098158B" w:rsidRPr="00E3701F" w:rsidRDefault="0098158B" w:rsidP="0098158B">
      <w:pPr>
        <w:pStyle w:val="Akapitzlist"/>
        <w:spacing w:after="0" w:line="240" w:lineRule="auto"/>
        <w:ind w:left="426"/>
        <w:jc w:val="both"/>
        <w:rPr>
          <w:rFonts w:ascii="Times New Roman" w:hAnsi="Times New Roman" w:cs="Times New Roman"/>
          <w:sz w:val="24"/>
          <w:szCs w:val="24"/>
        </w:rPr>
      </w:pPr>
    </w:p>
    <w:p w14:paraId="0544AB12" w14:textId="7ECF27A2" w:rsidR="00A50B3D" w:rsidRPr="00E3701F" w:rsidRDefault="00A50B3D" w:rsidP="000C62C3">
      <w:pPr>
        <w:pStyle w:val="Akapitzlist"/>
        <w:numPr>
          <w:ilvl w:val="6"/>
          <w:numId w:val="17"/>
        </w:numPr>
        <w:spacing w:after="0" w:line="240" w:lineRule="auto"/>
        <w:ind w:left="426" w:hanging="426"/>
        <w:jc w:val="both"/>
        <w:rPr>
          <w:rFonts w:ascii="Times New Roman" w:hAnsi="Times New Roman" w:cs="Times New Roman"/>
          <w:sz w:val="24"/>
          <w:szCs w:val="24"/>
        </w:rPr>
      </w:pPr>
      <w:r w:rsidRPr="00E3701F">
        <w:rPr>
          <w:rFonts w:ascii="Times New Roman" w:hAnsi="Times New Roman" w:cs="Times New Roman"/>
          <w:sz w:val="24"/>
          <w:szCs w:val="24"/>
        </w:rPr>
        <w:t>Podział ekspozycji bilansowych (z wyłączeniem instrumentów pochodnych, transakcji finansowanych z użyciem papierów wartościowych i ekspozycji wyłączonych</w:t>
      </w:r>
      <w:r w:rsidR="00137E9C" w:rsidRPr="00E3701F">
        <w:rPr>
          <w:rFonts w:ascii="Times New Roman" w:hAnsi="Times New Roman" w:cs="Times New Roman"/>
          <w:sz w:val="24"/>
          <w:szCs w:val="24"/>
        </w:rPr>
        <w:t>)</w:t>
      </w:r>
    </w:p>
    <w:tbl>
      <w:tblPr>
        <w:tblStyle w:val="Jasnasiatk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695"/>
        <w:gridCol w:w="2408"/>
      </w:tblGrid>
      <w:tr w:rsidR="00E3701F" w:rsidRPr="00E3701F" w14:paraId="7534DD23" w14:textId="77777777" w:rsidTr="00585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vAlign w:val="center"/>
          </w:tcPr>
          <w:p w14:paraId="36637668" w14:textId="77777777" w:rsidR="0013343F" w:rsidRPr="00E3701F" w:rsidRDefault="0013343F" w:rsidP="00C52B85">
            <w:pPr>
              <w:rPr>
                <w:rFonts w:ascii="Times New Roman" w:hAnsi="Times New Roman" w:cs="Times New Roman"/>
                <w:i/>
                <w:sz w:val="20"/>
                <w:szCs w:val="20"/>
              </w:rPr>
            </w:pPr>
            <w:r w:rsidRPr="00E3701F">
              <w:rPr>
                <w:rFonts w:ascii="Times New Roman" w:hAnsi="Times New Roman" w:cs="Times New Roman"/>
                <w:i/>
                <w:sz w:val="20"/>
                <w:szCs w:val="20"/>
              </w:rPr>
              <w:t>Lp.</w:t>
            </w:r>
          </w:p>
        </w:tc>
        <w:tc>
          <w:tcPr>
            <w:tcW w:w="5812" w:type="dxa"/>
            <w:shd w:val="clear" w:color="auto" w:fill="D9D9D9" w:themeFill="background1" w:themeFillShade="D9"/>
            <w:vAlign w:val="center"/>
          </w:tcPr>
          <w:p w14:paraId="20C23559" w14:textId="77777777" w:rsidR="0013343F" w:rsidRPr="00E3701F" w:rsidRDefault="0013343F" w:rsidP="00C52B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3701F">
              <w:rPr>
                <w:rFonts w:ascii="Times New Roman" w:hAnsi="Times New Roman" w:cs="Times New Roman"/>
                <w:i/>
                <w:sz w:val="20"/>
                <w:szCs w:val="20"/>
              </w:rPr>
              <w:t>Pozycja</w:t>
            </w:r>
          </w:p>
        </w:tc>
        <w:tc>
          <w:tcPr>
            <w:tcW w:w="2441" w:type="dxa"/>
            <w:shd w:val="clear" w:color="auto" w:fill="D9D9D9" w:themeFill="background1" w:themeFillShade="D9"/>
          </w:tcPr>
          <w:p w14:paraId="55854856" w14:textId="77777777" w:rsidR="0013343F" w:rsidRPr="00E3701F" w:rsidRDefault="0013343F" w:rsidP="001334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3701F">
              <w:rPr>
                <w:rFonts w:ascii="Times New Roman" w:hAnsi="Times New Roman" w:cs="Times New Roman"/>
                <w:i/>
                <w:sz w:val="20"/>
                <w:szCs w:val="20"/>
              </w:rPr>
              <w:t>Ekspozycje wskaźnika dźwigni określone w rozporządzeniu w sprawie wymogów kapitałowych</w:t>
            </w:r>
          </w:p>
        </w:tc>
      </w:tr>
      <w:tr w:rsidR="00ED417D" w:rsidRPr="00ED417D" w14:paraId="7F359ABA"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BFBFBF" w:themeFill="background1" w:themeFillShade="BF"/>
          </w:tcPr>
          <w:p w14:paraId="08147603" w14:textId="77777777" w:rsidR="0013343F" w:rsidRPr="00E3701F" w:rsidRDefault="0013343F" w:rsidP="00236DB6">
            <w:pPr>
              <w:jc w:val="both"/>
              <w:rPr>
                <w:rFonts w:ascii="Times New Roman" w:hAnsi="Times New Roman" w:cs="Times New Roman"/>
                <w:sz w:val="20"/>
                <w:szCs w:val="20"/>
              </w:rPr>
            </w:pPr>
            <w:r w:rsidRPr="00E3701F">
              <w:rPr>
                <w:rFonts w:ascii="Times New Roman" w:hAnsi="Times New Roman" w:cs="Times New Roman"/>
                <w:sz w:val="20"/>
                <w:szCs w:val="20"/>
              </w:rPr>
              <w:t>EU-1</w:t>
            </w:r>
          </w:p>
        </w:tc>
        <w:tc>
          <w:tcPr>
            <w:tcW w:w="5812" w:type="dxa"/>
            <w:shd w:val="clear" w:color="auto" w:fill="BFBFBF" w:themeFill="background1" w:themeFillShade="BF"/>
          </w:tcPr>
          <w:p w14:paraId="140012F4" w14:textId="77777777" w:rsidR="0013343F" w:rsidRPr="00E3701F" w:rsidRDefault="0013343F" w:rsidP="00236D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Całkowite ekspozycje bilansowe (z wyłączeniem instrumentów pochodnych, transakcji finansowanych z użyciem papierów wartościowych i ekspozycji wyłącznych) w tym:</w:t>
            </w:r>
          </w:p>
        </w:tc>
        <w:tc>
          <w:tcPr>
            <w:tcW w:w="2441" w:type="dxa"/>
            <w:shd w:val="clear" w:color="auto" w:fill="BFBFBF" w:themeFill="background1" w:themeFillShade="BF"/>
          </w:tcPr>
          <w:p w14:paraId="61E3E784" w14:textId="037B6B58"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3701F">
              <w:rPr>
                <w:rFonts w:ascii="Times New Roman" w:hAnsi="Times New Roman" w:cs="Times New Roman"/>
                <w:b/>
                <w:sz w:val="20"/>
                <w:szCs w:val="20"/>
              </w:rPr>
              <w:t>1</w:t>
            </w:r>
            <w:r w:rsidR="00E3701F" w:rsidRPr="00E3701F">
              <w:rPr>
                <w:rFonts w:ascii="Times New Roman" w:hAnsi="Times New Roman" w:cs="Times New Roman"/>
                <w:b/>
                <w:sz w:val="20"/>
                <w:szCs w:val="20"/>
              </w:rPr>
              <w:t>27 931</w:t>
            </w:r>
          </w:p>
        </w:tc>
      </w:tr>
      <w:tr w:rsidR="00ED417D" w:rsidRPr="00ED417D" w14:paraId="5E6E680F" w14:textId="77777777" w:rsidTr="0058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F2F2F2" w:themeFill="background1" w:themeFillShade="F2"/>
          </w:tcPr>
          <w:p w14:paraId="467DC15D"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lastRenderedPageBreak/>
              <w:t>EU-2</w:t>
            </w:r>
          </w:p>
        </w:tc>
        <w:tc>
          <w:tcPr>
            <w:tcW w:w="5812" w:type="dxa"/>
            <w:shd w:val="clear" w:color="auto" w:fill="F2F2F2" w:themeFill="background1" w:themeFillShade="F2"/>
          </w:tcPr>
          <w:p w14:paraId="616FE6EC" w14:textId="77777777" w:rsidR="0013343F" w:rsidRPr="00E3701F" w:rsidRDefault="0013343F" w:rsidP="0013343F">
            <w:pPr>
              <w:ind w:left="708" w:hanging="39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zaliczane do portfela handlowego</w:t>
            </w:r>
          </w:p>
        </w:tc>
        <w:tc>
          <w:tcPr>
            <w:tcW w:w="2441" w:type="dxa"/>
            <w:shd w:val="clear" w:color="auto" w:fill="F2F2F2" w:themeFill="background1" w:themeFillShade="F2"/>
          </w:tcPr>
          <w:p w14:paraId="1CFAD948" w14:textId="7AD6456D" w:rsidR="0013343F" w:rsidRPr="00E3701F" w:rsidRDefault="00967662" w:rsidP="00D8461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w:t>
            </w:r>
          </w:p>
        </w:tc>
      </w:tr>
      <w:tr w:rsidR="00ED417D" w:rsidRPr="00ED417D" w14:paraId="58958EA3"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F2F2F2" w:themeFill="background1" w:themeFillShade="F2"/>
          </w:tcPr>
          <w:p w14:paraId="4C9AFD89"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EU-3</w:t>
            </w:r>
          </w:p>
        </w:tc>
        <w:tc>
          <w:tcPr>
            <w:tcW w:w="5812" w:type="dxa"/>
            <w:shd w:val="clear" w:color="auto" w:fill="F2F2F2" w:themeFill="background1" w:themeFillShade="F2"/>
          </w:tcPr>
          <w:p w14:paraId="70FD54CC" w14:textId="77777777" w:rsidR="0013343F" w:rsidRPr="00E3701F" w:rsidRDefault="0013343F" w:rsidP="0013343F">
            <w:pPr>
              <w:ind w:left="708" w:hanging="3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zaliczane do portfela bankowego w tym:</w:t>
            </w:r>
          </w:p>
        </w:tc>
        <w:tc>
          <w:tcPr>
            <w:tcW w:w="2441" w:type="dxa"/>
            <w:shd w:val="clear" w:color="auto" w:fill="F2F2F2" w:themeFill="background1" w:themeFillShade="F2"/>
          </w:tcPr>
          <w:p w14:paraId="41AB02C1" w14:textId="609C0FF0"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w:t>
            </w:r>
            <w:r w:rsidR="00E3701F" w:rsidRPr="00E3701F">
              <w:rPr>
                <w:rFonts w:ascii="Times New Roman" w:hAnsi="Times New Roman" w:cs="Times New Roman"/>
                <w:sz w:val="20"/>
                <w:szCs w:val="20"/>
              </w:rPr>
              <w:t>27 931</w:t>
            </w:r>
          </w:p>
        </w:tc>
      </w:tr>
      <w:tr w:rsidR="00ED417D" w:rsidRPr="00ED417D" w14:paraId="0484B52C" w14:textId="77777777" w:rsidTr="0058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C8DEBF6"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EU-5</w:t>
            </w:r>
          </w:p>
        </w:tc>
        <w:tc>
          <w:tcPr>
            <w:tcW w:w="5812" w:type="dxa"/>
            <w:shd w:val="clear" w:color="auto" w:fill="auto"/>
          </w:tcPr>
          <w:p w14:paraId="6BA23A05" w14:textId="77777777" w:rsidR="0013343F" w:rsidRPr="00E3701F" w:rsidRDefault="0013343F" w:rsidP="0013343F">
            <w:pPr>
              <w:ind w:left="60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traktowane jako ekspozycje wobec państwa</w:t>
            </w:r>
          </w:p>
        </w:tc>
        <w:tc>
          <w:tcPr>
            <w:tcW w:w="2441" w:type="dxa"/>
            <w:shd w:val="clear" w:color="auto" w:fill="auto"/>
          </w:tcPr>
          <w:p w14:paraId="4998C32F" w14:textId="476B205C" w:rsidR="0013343F" w:rsidRPr="00E3701F" w:rsidRDefault="00E3701F" w:rsidP="0096766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22 591</w:t>
            </w:r>
          </w:p>
        </w:tc>
      </w:tr>
      <w:tr w:rsidR="00ED417D" w:rsidRPr="00ED417D" w14:paraId="46040766"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2271D51"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EU-6</w:t>
            </w:r>
          </w:p>
        </w:tc>
        <w:tc>
          <w:tcPr>
            <w:tcW w:w="5812" w:type="dxa"/>
            <w:shd w:val="clear" w:color="auto" w:fill="auto"/>
          </w:tcPr>
          <w:p w14:paraId="619C9F70" w14:textId="77777777" w:rsidR="0013343F" w:rsidRPr="00E3701F" w:rsidRDefault="0013343F" w:rsidP="0013343F">
            <w:pPr>
              <w:ind w:left="60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wobec samorządów regionalnych, wielostronnych banków rozwoju, organizacji międzynarodowych i podmiotów sektora publicznego których nie traktuje się jak państwa</w:t>
            </w:r>
          </w:p>
        </w:tc>
        <w:tc>
          <w:tcPr>
            <w:tcW w:w="2441" w:type="dxa"/>
            <w:shd w:val="clear" w:color="auto" w:fill="auto"/>
          </w:tcPr>
          <w:p w14:paraId="509D84FF" w14:textId="6182C264"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2</w:t>
            </w:r>
            <w:r w:rsidR="00E3701F" w:rsidRPr="00E3701F">
              <w:rPr>
                <w:rFonts w:ascii="Times New Roman" w:hAnsi="Times New Roman" w:cs="Times New Roman"/>
                <w:sz w:val="20"/>
                <w:szCs w:val="20"/>
              </w:rPr>
              <w:t>7 148</w:t>
            </w:r>
          </w:p>
        </w:tc>
      </w:tr>
      <w:tr w:rsidR="00ED417D" w:rsidRPr="00ED417D" w14:paraId="2629DBB1" w14:textId="77777777" w:rsidTr="0058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39CA8F3"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EU-7</w:t>
            </w:r>
          </w:p>
        </w:tc>
        <w:tc>
          <w:tcPr>
            <w:tcW w:w="5812" w:type="dxa"/>
            <w:shd w:val="clear" w:color="auto" w:fill="auto"/>
          </w:tcPr>
          <w:p w14:paraId="4C0A4466" w14:textId="77777777" w:rsidR="0013343F" w:rsidRPr="00E3701F" w:rsidRDefault="0013343F" w:rsidP="0013343F">
            <w:pPr>
              <w:ind w:left="60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Instytucje</w:t>
            </w:r>
          </w:p>
        </w:tc>
        <w:tc>
          <w:tcPr>
            <w:tcW w:w="2441" w:type="dxa"/>
            <w:shd w:val="clear" w:color="auto" w:fill="auto"/>
          </w:tcPr>
          <w:p w14:paraId="40EED9E4" w14:textId="4CC87DD9" w:rsidR="0013343F" w:rsidRPr="00E3701F" w:rsidRDefault="00967662" w:rsidP="0096766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w:t>
            </w:r>
            <w:r w:rsidR="00E3701F" w:rsidRPr="00E3701F">
              <w:rPr>
                <w:rFonts w:ascii="Times New Roman" w:hAnsi="Times New Roman" w:cs="Times New Roman"/>
                <w:sz w:val="20"/>
                <w:szCs w:val="20"/>
              </w:rPr>
              <w:t>6 176</w:t>
            </w:r>
          </w:p>
        </w:tc>
      </w:tr>
      <w:tr w:rsidR="00ED417D" w:rsidRPr="00ED417D" w14:paraId="64E98744"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EDDE34D"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EU-8</w:t>
            </w:r>
          </w:p>
        </w:tc>
        <w:tc>
          <w:tcPr>
            <w:tcW w:w="5812" w:type="dxa"/>
            <w:shd w:val="clear" w:color="auto" w:fill="auto"/>
          </w:tcPr>
          <w:p w14:paraId="1165DE30" w14:textId="77777777" w:rsidR="0013343F" w:rsidRPr="00E3701F" w:rsidRDefault="0013343F" w:rsidP="0013343F">
            <w:pPr>
              <w:ind w:left="60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zabezpieczone na nieruchomościach</w:t>
            </w:r>
          </w:p>
        </w:tc>
        <w:tc>
          <w:tcPr>
            <w:tcW w:w="2441" w:type="dxa"/>
            <w:shd w:val="clear" w:color="auto" w:fill="auto"/>
          </w:tcPr>
          <w:p w14:paraId="0C09896B" w14:textId="4F091999"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1</w:t>
            </w:r>
            <w:r w:rsidR="00E3701F" w:rsidRPr="00E3701F">
              <w:rPr>
                <w:rFonts w:ascii="Times New Roman" w:hAnsi="Times New Roman" w:cs="Times New Roman"/>
                <w:sz w:val="20"/>
                <w:szCs w:val="20"/>
              </w:rPr>
              <w:t>3 430</w:t>
            </w:r>
          </w:p>
        </w:tc>
      </w:tr>
      <w:tr w:rsidR="00ED417D" w:rsidRPr="00ED417D" w14:paraId="31442D83" w14:textId="77777777" w:rsidTr="0058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DF71AC9"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EU-9</w:t>
            </w:r>
          </w:p>
        </w:tc>
        <w:tc>
          <w:tcPr>
            <w:tcW w:w="5812" w:type="dxa"/>
            <w:shd w:val="clear" w:color="auto" w:fill="auto"/>
          </w:tcPr>
          <w:p w14:paraId="3BCB7E1E" w14:textId="77777777" w:rsidR="0013343F" w:rsidRPr="00E3701F" w:rsidRDefault="0013343F" w:rsidP="0013343F">
            <w:pPr>
              <w:ind w:left="60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detaliczne</w:t>
            </w:r>
          </w:p>
        </w:tc>
        <w:tc>
          <w:tcPr>
            <w:tcW w:w="2441" w:type="dxa"/>
            <w:shd w:val="clear" w:color="auto" w:fill="auto"/>
          </w:tcPr>
          <w:p w14:paraId="08B20A5C" w14:textId="6942E1D3" w:rsidR="0013343F" w:rsidRPr="00E3701F" w:rsidRDefault="00967662" w:rsidP="0096766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4</w:t>
            </w:r>
            <w:r w:rsidR="00E3701F" w:rsidRPr="00E3701F">
              <w:rPr>
                <w:rFonts w:ascii="Times New Roman" w:hAnsi="Times New Roman" w:cs="Times New Roman"/>
                <w:sz w:val="20"/>
                <w:szCs w:val="20"/>
              </w:rPr>
              <w:t>2 423</w:t>
            </w:r>
          </w:p>
        </w:tc>
      </w:tr>
      <w:tr w:rsidR="00ED417D" w:rsidRPr="00ED417D" w14:paraId="2DA41F6D"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F92B603"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EU-10</w:t>
            </w:r>
          </w:p>
        </w:tc>
        <w:tc>
          <w:tcPr>
            <w:tcW w:w="5812" w:type="dxa"/>
            <w:shd w:val="clear" w:color="auto" w:fill="auto"/>
          </w:tcPr>
          <w:p w14:paraId="5A5D4623" w14:textId="77777777" w:rsidR="0013343F" w:rsidRPr="00E3701F" w:rsidRDefault="0013343F" w:rsidP="0013343F">
            <w:pPr>
              <w:ind w:left="60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Przedsiębiorstwa</w:t>
            </w:r>
          </w:p>
        </w:tc>
        <w:tc>
          <w:tcPr>
            <w:tcW w:w="2441" w:type="dxa"/>
            <w:shd w:val="clear" w:color="auto" w:fill="auto"/>
          </w:tcPr>
          <w:p w14:paraId="47589DA2" w14:textId="5BDF6CEF"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0</w:t>
            </w:r>
          </w:p>
        </w:tc>
      </w:tr>
      <w:tr w:rsidR="00ED417D" w:rsidRPr="00ED417D" w14:paraId="0AAD4DBA" w14:textId="77777777" w:rsidTr="005853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C566EB2"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EU-11</w:t>
            </w:r>
          </w:p>
        </w:tc>
        <w:tc>
          <w:tcPr>
            <w:tcW w:w="5812" w:type="dxa"/>
            <w:shd w:val="clear" w:color="auto" w:fill="auto"/>
          </w:tcPr>
          <w:p w14:paraId="6AE14AD3" w14:textId="77777777" w:rsidR="0013343F" w:rsidRPr="00E3701F" w:rsidRDefault="0013343F" w:rsidP="0013343F">
            <w:pPr>
              <w:ind w:left="60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Ekspozycje których dotyczy niewykonanie zobowiązania</w:t>
            </w:r>
          </w:p>
        </w:tc>
        <w:tc>
          <w:tcPr>
            <w:tcW w:w="2441" w:type="dxa"/>
            <w:shd w:val="clear" w:color="auto" w:fill="auto"/>
          </w:tcPr>
          <w:p w14:paraId="60006847" w14:textId="411CC9F9" w:rsidR="0013343F" w:rsidRPr="00E3701F" w:rsidRDefault="00E3701F" w:rsidP="00967662">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857</w:t>
            </w:r>
          </w:p>
        </w:tc>
      </w:tr>
      <w:tr w:rsidR="00ED417D" w:rsidRPr="00ED417D" w14:paraId="0FE931CF" w14:textId="77777777" w:rsidTr="00585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58B9B8F" w14:textId="77777777" w:rsidR="0013343F" w:rsidRPr="00E3701F" w:rsidRDefault="0013343F" w:rsidP="00236DB6">
            <w:pPr>
              <w:jc w:val="both"/>
              <w:rPr>
                <w:rFonts w:ascii="Times New Roman" w:hAnsi="Times New Roman" w:cs="Times New Roman"/>
                <w:b w:val="0"/>
                <w:sz w:val="20"/>
                <w:szCs w:val="20"/>
              </w:rPr>
            </w:pPr>
            <w:r w:rsidRPr="00E3701F">
              <w:rPr>
                <w:rFonts w:ascii="Times New Roman" w:hAnsi="Times New Roman" w:cs="Times New Roman"/>
                <w:b w:val="0"/>
                <w:sz w:val="20"/>
                <w:szCs w:val="20"/>
              </w:rPr>
              <w:t>EU-12</w:t>
            </w:r>
          </w:p>
        </w:tc>
        <w:tc>
          <w:tcPr>
            <w:tcW w:w="5812" w:type="dxa"/>
            <w:shd w:val="clear" w:color="auto" w:fill="auto"/>
          </w:tcPr>
          <w:p w14:paraId="47DB7F43" w14:textId="77777777" w:rsidR="0013343F" w:rsidRPr="00E3701F" w:rsidRDefault="0013343F" w:rsidP="0013343F">
            <w:pPr>
              <w:ind w:left="60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Pozostałe ekspozycje (np. kapitałowe, sekurytyzacyjne i inne aktywa nie generujące zobowiązania kredytowego)</w:t>
            </w:r>
          </w:p>
        </w:tc>
        <w:tc>
          <w:tcPr>
            <w:tcW w:w="2441" w:type="dxa"/>
            <w:shd w:val="clear" w:color="auto" w:fill="auto"/>
          </w:tcPr>
          <w:p w14:paraId="4AADFDAA" w14:textId="38697408" w:rsidR="0013343F" w:rsidRPr="00E3701F" w:rsidRDefault="00967662" w:rsidP="009676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1F">
              <w:rPr>
                <w:rFonts w:ascii="Times New Roman" w:hAnsi="Times New Roman" w:cs="Times New Roman"/>
                <w:sz w:val="20"/>
                <w:szCs w:val="20"/>
              </w:rPr>
              <w:t xml:space="preserve">5 </w:t>
            </w:r>
            <w:r w:rsidR="00E3701F" w:rsidRPr="00E3701F">
              <w:rPr>
                <w:rFonts w:ascii="Times New Roman" w:hAnsi="Times New Roman" w:cs="Times New Roman"/>
                <w:sz w:val="20"/>
                <w:szCs w:val="20"/>
              </w:rPr>
              <w:t>306</w:t>
            </w:r>
          </w:p>
        </w:tc>
      </w:tr>
    </w:tbl>
    <w:p w14:paraId="00289DE2" w14:textId="77777777" w:rsidR="00A50B3D" w:rsidRPr="00ED417D" w:rsidRDefault="00A50B3D" w:rsidP="00236DB6">
      <w:pPr>
        <w:spacing w:after="0" w:line="240" w:lineRule="auto"/>
        <w:ind w:left="360"/>
        <w:jc w:val="both"/>
        <w:rPr>
          <w:rFonts w:ascii="Times New Roman" w:hAnsi="Times New Roman" w:cs="Times New Roman"/>
          <w:color w:val="FF0000"/>
          <w:sz w:val="24"/>
          <w:szCs w:val="24"/>
        </w:rPr>
      </w:pPr>
    </w:p>
    <w:p w14:paraId="313D85C0" w14:textId="77777777" w:rsidR="00A50B3D" w:rsidRPr="006F0950" w:rsidRDefault="009152E9" w:rsidP="000C62C3">
      <w:pPr>
        <w:pStyle w:val="Akapitzlist"/>
        <w:numPr>
          <w:ilvl w:val="6"/>
          <w:numId w:val="17"/>
        </w:numPr>
        <w:spacing w:after="0" w:line="240" w:lineRule="auto"/>
        <w:ind w:left="426" w:hanging="426"/>
        <w:jc w:val="both"/>
        <w:rPr>
          <w:rFonts w:ascii="Times New Roman" w:hAnsi="Times New Roman" w:cs="Times New Roman"/>
          <w:sz w:val="24"/>
          <w:szCs w:val="24"/>
        </w:rPr>
      </w:pPr>
      <w:r w:rsidRPr="006F0950">
        <w:rPr>
          <w:rFonts w:ascii="Times New Roman" w:hAnsi="Times New Roman" w:cs="Times New Roman"/>
          <w:sz w:val="24"/>
          <w:szCs w:val="24"/>
        </w:rPr>
        <w:t>Informacje jakościowe</w:t>
      </w:r>
    </w:p>
    <w:tbl>
      <w:tblPr>
        <w:tblStyle w:val="Jasnasiatk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16"/>
        <w:gridCol w:w="6368"/>
      </w:tblGrid>
      <w:tr w:rsidR="00ED417D" w:rsidRPr="00ED417D" w14:paraId="2FB5FEB4" w14:textId="77777777" w:rsidTr="00570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shd w:val="clear" w:color="auto" w:fill="auto"/>
          </w:tcPr>
          <w:p w14:paraId="2040D565" w14:textId="77777777" w:rsidR="00A50B3D" w:rsidRPr="006F0950" w:rsidRDefault="00A50B3D" w:rsidP="00236DB6">
            <w:pPr>
              <w:jc w:val="both"/>
              <w:rPr>
                <w:rFonts w:ascii="Times New Roman" w:hAnsi="Times New Roman" w:cs="Times New Roman"/>
                <w:b w:val="0"/>
                <w:sz w:val="20"/>
                <w:szCs w:val="20"/>
              </w:rPr>
            </w:pPr>
            <w:r w:rsidRPr="006F0950">
              <w:rPr>
                <w:rFonts w:ascii="Times New Roman" w:hAnsi="Times New Roman" w:cs="Times New Roman"/>
                <w:b w:val="0"/>
                <w:sz w:val="20"/>
                <w:szCs w:val="20"/>
              </w:rPr>
              <w:t>1</w:t>
            </w:r>
          </w:p>
        </w:tc>
        <w:tc>
          <w:tcPr>
            <w:tcW w:w="2016" w:type="dxa"/>
            <w:shd w:val="clear" w:color="auto" w:fill="auto"/>
          </w:tcPr>
          <w:p w14:paraId="72473FDB" w14:textId="77777777" w:rsidR="00A50B3D" w:rsidRPr="006F0950" w:rsidRDefault="00A50B3D" w:rsidP="009152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6F0950">
              <w:rPr>
                <w:rFonts w:ascii="Times New Roman" w:hAnsi="Times New Roman" w:cs="Times New Roman"/>
                <w:i/>
                <w:sz w:val="20"/>
                <w:szCs w:val="20"/>
              </w:rPr>
              <w:t>Opis procedur stosowanych w celu zarządzania ryzykiem nadmiernej dźwigni finansowej</w:t>
            </w:r>
          </w:p>
        </w:tc>
        <w:tc>
          <w:tcPr>
            <w:tcW w:w="6368" w:type="dxa"/>
            <w:shd w:val="clear" w:color="auto" w:fill="auto"/>
          </w:tcPr>
          <w:p w14:paraId="3269AF4B" w14:textId="77777777" w:rsidR="0058532F" w:rsidRPr="00860AF4" w:rsidRDefault="0058532F" w:rsidP="0058532F">
            <w:pPr>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rPr>
            </w:pPr>
            <w:r w:rsidRPr="00860AF4">
              <w:rPr>
                <w:rFonts w:ascii="Times New Roman" w:eastAsiaTheme="minorHAnsi" w:hAnsi="Times New Roman" w:cs="Times New Roman"/>
                <w:b w:val="0"/>
                <w:bCs w:val="0"/>
                <w:sz w:val="20"/>
                <w:szCs w:val="20"/>
              </w:rPr>
              <w:t>Ryzyko nadmiernej dźwigni finansowej Bank klasyfikuje do ryzyk nieistotnych; zarządzanie tym rodzajem ryzyka odbywa się w ramach ryzyka kapitałowego – w oparciu o zatwierdzoną w Banku Strategię zarządzania i planowania kapitałowego.</w:t>
            </w:r>
          </w:p>
          <w:p w14:paraId="1B76981B" w14:textId="77777777" w:rsidR="00A50B3D" w:rsidRPr="00ED417D" w:rsidRDefault="0058532F" w:rsidP="00236DB6">
            <w:pPr>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FF0000"/>
                <w:sz w:val="20"/>
                <w:szCs w:val="20"/>
              </w:rPr>
            </w:pPr>
            <w:r w:rsidRPr="00860AF4">
              <w:rPr>
                <w:rFonts w:ascii="Times New Roman" w:eastAsiaTheme="minorHAnsi" w:hAnsi="Times New Roman" w:cs="Times New Roman"/>
                <w:b w:val="0"/>
                <w:bCs w:val="0"/>
                <w:sz w:val="20"/>
                <w:szCs w:val="20"/>
              </w:rPr>
              <w:t>Takie podejście wynika z faktu, że Bank do obliczania aktywów ważonych ryzykiem stosuje metodę standardową (co ogranicza nadmierną możliwość wykorzystywania niższych wag ryzyka). W związku z tym zachowanie odpowiednich współczynników kapitałowych, powoduje, że wskaźnik dźwigni utrzymuje się również na bezpiecznym poziomie.</w:t>
            </w:r>
          </w:p>
        </w:tc>
      </w:tr>
      <w:tr w:rsidR="00ED417D" w:rsidRPr="00ED417D" w14:paraId="4034D9D4" w14:textId="77777777" w:rsidTr="00570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shd w:val="clear" w:color="auto" w:fill="auto"/>
          </w:tcPr>
          <w:p w14:paraId="73F91063" w14:textId="77777777" w:rsidR="00A50B3D" w:rsidRPr="006F0950" w:rsidRDefault="00A50B3D" w:rsidP="00236DB6">
            <w:pPr>
              <w:jc w:val="both"/>
              <w:rPr>
                <w:rFonts w:ascii="Times New Roman" w:hAnsi="Times New Roman" w:cs="Times New Roman"/>
                <w:b w:val="0"/>
                <w:sz w:val="20"/>
                <w:szCs w:val="20"/>
              </w:rPr>
            </w:pPr>
            <w:r w:rsidRPr="006F0950">
              <w:rPr>
                <w:rFonts w:ascii="Times New Roman" w:hAnsi="Times New Roman" w:cs="Times New Roman"/>
                <w:b w:val="0"/>
                <w:sz w:val="20"/>
                <w:szCs w:val="20"/>
              </w:rPr>
              <w:t>2</w:t>
            </w:r>
          </w:p>
        </w:tc>
        <w:tc>
          <w:tcPr>
            <w:tcW w:w="2016" w:type="dxa"/>
            <w:shd w:val="clear" w:color="auto" w:fill="auto"/>
          </w:tcPr>
          <w:p w14:paraId="34F68D5E" w14:textId="77777777" w:rsidR="00A50B3D" w:rsidRPr="006F0950" w:rsidRDefault="00A50B3D" w:rsidP="00915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rPr>
            </w:pPr>
            <w:r w:rsidRPr="006F0950">
              <w:rPr>
                <w:rFonts w:ascii="Times New Roman" w:hAnsi="Times New Roman" w:cs="Times New Roman"/>
                <w:b/>
                <w:i/>
                <w:sz w:val="20"/>
                <w:szCs w:val="20"/>
              </w:rPr>
              <w:t>Opis czynników które miały wpływ na wskaźnik dźwigni w okresie którego dotyczy ujawniony wskaźnik dźwigni</w:t>
            </w:r>
          </w:p>
        </w:tc>
        <w:tc>
          <w:tcPr>
            <w:tcW w:w="6368" w:type="dxa"/>
            <w:shd w:val="clear" w:color="auto" w:fill="auto"/>
          </w:tcPr>
          <w:p w14:paraId="719A1C19" w14:textId="5910F31B" w:rsidR="00775FB5" w:rsidRPr="00ED417D" w:rsidRDefault="00775FB5" w:rsidP="00775F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860AF4">
              <w:rPr>
                <w:rFonts w:ascii="Times New Roman" w:hAnsi="Times New Roman" w:cs="Times New Roman"/>
                <w:sz w:val="20"/>
                <w:szCs w:val="20"/>
              </w:rPr>
              <w:t xml:space="preserve">Wskaźnik dźwigni finansowej </w:t>
            </w:r>
            <w:r w:rsidR="0088694C" w:rsidRPr="00860AF4">
              <w:rPr>
                <w:rFonts w:ascii="Times New Roman" w:hAnsi="Times New Roman" w:cs="Times New Roman"/>
                <w:sz w:val="20"/>
                <w:szCs w:val="20"/>
              </w:rPr>
              <w:t>zgodnie ze</w:t>
            </w:r>
            <w:r w:rsidRPr="00860AF4">
              <w:rPr>
                <w:rFonts w:ascii="Times New Roman" w:hAnsi="Times New Roman" w:cs="Times New Roman"/>
                <w:sz w:val="20"/>
                <w:szCs w:val="20"/>
              </w:rPr>
              <w:t xml:space="preserve"> „Strategi</w:t>
            </w:r>
            <w:r w:rsidR="0088694C" w:rsidRPr="00860AF4">
              <w:rPr>
                <w:rFonts w:ascii="Times New Roman" w:hAnsi="Times New Roman" w:cs="Times New Roman"/>
                <w:sz w:val="20"/>
                <w:szCs w:val="20"/>
              </w:rPr>
              <w:t>ą</w:t>
            </w:r>
            <w:r w:rsidRPr="00860AF4">
              <w:rPr>
                <w:rFonts w:ascii="Times New Roman" w:hAnsi="Times New Roman" w:cs="Times New Roman"/>
                <w:sz w:val="20"/>
                <w:szCs w:val="20"/>
              </w:rPr>
              <w:t xml:space="preserve"> rozwoju Banku na lata 201</w:t>
            </w:r>
            <w:r w:rsidR="006F0950" w:rsidRPr="00860AF4">
              <w:rPr>
                <w:rFonts w:ascii="Times New Roman" w:hAnsi="Times New Roman" w:cs="Times New Roman"/>
                <w:sz w:val="20"/>
                <w:szCs w:val="20"/>
              </w:rPr>
              <w:t>9</w:t>
            </w:r>
            <w:r w:rsidRPr="00860AF4">
              <w:rPr>
                <w:rFonts w:ascii="Times New Roman" w:hAnsi="Times New Roman" w:cs="Times New Roman"/>
                <w:sz w:val="20"/>
                <w:szCs w:val="20"/>
              </w:rPr>
              <w:t>-20</w:t>
            </w:r>
            <w:r w:rsidR="006F0950" w:rsidRPr="00860AF4">
              <w:rPr>
                <w:rFonts w:ascii="Times New Roman" w:hAnsi="Times New Roman" w:cs="Times New Roman"/>
                <w:sz w:val="20"/>
                <w:szCs w:val="20"/>
              </w:rPr>
              <w:t>23</w:t>
            </w:r>
            <w:r w:rsidRPr="00860AF4">
              <w:rPr>
                <w:rFonts w:ascii="Times New Roman" w:hAnsi="Times New Roman" w:cs="Times New Roman"/>
                <w:sz w:val="20"/>
                <w:szCs w:val="20"/>
              </w:rPr>
              <w:t>” oraz „Plane</w:t>
            </w:r>
            <w:r w:rsidR="0088694C" w:rsidRPr="00860AF4">
              <w:rPr>
                <w:rFonts w:ascii="Times New Roman" w:hAnsi="Times New Roman" w:cs="Times New Roman"/>
                <w:sz w:val="20"/>
                <w:szCs w:val="20"/>
              </w:rPr>
              <w:t>m</w:t>
            </w:r>
            <w:r w:rsidRPr="00860AF4">
              <w:rPr>
                <w:rFonts w:ascii="Times New Roman" w:hAnsi="Times New Roman" w:cs="Times New Roman"/>
                <w:sz w:val="20"/>
                <w:szCs w:val="20"/>
              </w:rPr>
              <w:t xml:space="preserve"> ekonomiczno – finansowym na 20</w:t>
            </w:r>
            <w:r w:rsidR="006F0950" w:rsidRPr="00860AF4">
              <w:rPr>
                <w:rFonts w:ascii="Times New Roman" w:hAnsi="Times New Roman" w:cs="Times New Roman"/>
                <w:sz w:val="20"/>
                <w:szCs w:val="20"/>
              </w:rPr>
              <w:t>20</w:t>
            </w:r>
            <w:r w:rsidRPr="00860AF4">
              <w:rPr>
                <w:rFonts w:ascii="Times New Roman" w:hAnsi="Times New Roman" w:cs="Times New Roman"/>
                <w:sz w:val="20"/>
                <w:szCs w:val="20"/>
              </w:rPr>
              <w:t xml:space="preserve"> r. </w:t>
            </w:r>
            <w:r w:rsidR="0088694C" w:rsidRPr="007318F5">
              <w:rPr>
                <w:rFonts w:ascii="Times New Roman" w:hAnsi="Times New Roman" w:cs="Times New Roman"/>
                <w:sz w:val="20"/>
                <w:szCs w:val="20"/>
              </w:rPr>
              <w:t xml:space="preserve">określony </w:t>
            </w:r>
            <w:r w:rsidRPr="007318F5">
              <w:rPr>
                <w:rFonts w:ascii="Times New Roman" w:hAnsi="Times New Roman" w:cs="Times New Roman"/>
                <w:sz w:val="20"/>
                <w:szCs w:val="20"/>
              </w:rPr>
              <w:t xml:space="preserve">na poziomie min 5% został </w:t>
            </w:r>
            <w:r w:rsidRPr="0027003B">
              <w:rPr>
                <w:rFonts w:ascii="Times New Roman" w:hAnsi="Times New Roman" w:cs="Times New Roman"/>
                <w:sz w:val="20"/>
                <w:szCs w:val="20"/>
              </w:rPr>
              <w:t>wykonany w 1</w:t>
            </w:r>
            <w:r w:rsidR="0027003B" w:rsidRPr="0027003B">
              <w:rPr>
                <w:rFonts w:ascii="Times New Roman" w:hAnsi="Times New Roman" w:cs="Times New Roman"/>
                <w:sz w:val="20"/>
                <w:szCs w:val="20"/>
              </w:rPr>
              <w:t>60,4</w:t>
            </w:r>
            <w:r w:rsidRPr="0027003B">
              <w:rPr>
                <w:rFonts w:ascii="Times New Roman" w:hAnsi="Times New Roman" w:cs="Times New Roman"/>
                <w:sz w:val="20"/>
                <w:szCs w:val="20"/>
              </w:rPr>
              <w:t>% i wyniósł na dzień 31.12.20</w:t>
            </w:r>
            <w:r w:rsidR="007318F5" w:rsidRPr="0027003B">
              <w:rPr>
                <w:rFonts w:ascii="Times New Roman" w:hAnsi="Times New Roman" w:cs="Times New Roman"/>
                <w:sz w:val="20"/>
                <w:szCs w:val="20"/>
              </w:rPr>
              <w:t>20</w:t>
            </w:r>
            <w:r w:rsidRPr="0027003B">
              <w:rPr>
                <w:rFonts w:ascii="Times New Roman" w:hAnsi="Times New Roman" w:cs="Times New Roman"/>
                <w:sz w:val="20"/>
                <w:szCs w:val="20"/>
              </w:rPr>
              <w:t xml:space="preserve"> r. – 8,</w:t>
            </w:r>
            <w:r w:rsidR="0027003B" w:rsidRPr="0027003B">
              <w:rPr>
                <w:rFonts w:ascii="Times New Roman" w:hAnsi="Times New Roman" w:cs="Times New Roman"/>
                <w:sz w:val="20"/>
                <w:szCs w:val="20"/>
              </w:rPr>
              <w:t>02</w:t>
            </w:r>
            <w:r w:rsidRPr="0027003B">
              <w:rPr>
                <w:rFonts w:ascii="Times New Roman" w:hAnsi="Times New Roman" w:cs="Times New Roman"/>
                <w:sz w:val="20"/>
                <w:szCs w:val="20"/>
              </w:rPr>
              <w:t>%.</w:t>
            </w:r>
            <w:r w:rsidR="0088694C" w:rsidRPr="0027003B">
              <w:rPr>
                <w:rFonts w:ascii="Times New Roman" w:hAnsi="Times New Roman" w:cs="Times New Roman"/>
                <w:sz w:val="20"/>
                <w:szCs w:val="20"/>
              </w:rPr>
              <w:t xml:space="preserve"> Wskaźnik dźwigni finansowej kształtuje się na zadawalającym poziomie.</w:t>
            </w:r>
          </w:p>
        </w:tc>
      </w:tr>
    </w:tbl>
    <w:p w14:paraId="46955F79" w14:textId="77777777" w:rsidR="006B2447" w:rsidRPr="00ED417D" w:rsidRDefault="006B2447" w:rsidP="00236DB6">
      <w:pPr>
        <w:spacing w:after="0" w:line="240" w:lineRule="auto"/>
        <w:rPr>
          <w:rFonts w:ascii="Times New Roman" w:hAnsi="Times New Roman" w:cs="Times New Roman"/>
          <w:color w:val="FF0000"/>
          <w:sz w:val="24"/>
          <w:szCs w:val="24"/>
        </w:rPr>
      </w:pPr>
    </w:p>
    <w:p w14:paraId="6B7C8D68" w14:textId="77777777" w:rsidR="00602F2B" w:rsidRPr="006F0950" w:rsidRDefault="008F56A9"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6F0950">
        <w:rPr>
          <w:rFonts w:ascii="Century" w:hAnsi="Century" w:cs="Times New Roman"/>
          <w:b/>
          <w:sz w:val="24"/>
          <w:szCs w:val="24"/>
        </w:rPr>
        <w:t>Kontrola wewnętrzna</w:t>
      </w:r>
    </w:p>
    <w:p w14:paraId="2449B091" w14:textId="77777777" w:rsidR="006B2447" w:rsidRPr="006F0950" w:rsidRDefault="008B5C21" w:rsidP="00602F2B">
      <w:pPr>
        <w:spacing w:after="0" w:line="240" w:lineRule="auto"/>
        <w:rPr>
          <w:rFonts w:ascii="Times New Roman" w:hAnsi="Times New Roman" w:cs="Times New Roman"/>
          <w:sz w:val="24"/>
          <w:szCs w:val="24"/>
        </w:rPr>
      </w:pPr>
      <w:r w:rsidRPr="006F0950">
        <w:rPr>
          <w:rFonts w:ascii="Times New Roman" w:eastAsia="Times New Roman" w:hAnsi="Times New Roman" w:cs="Times New Roman"/>
          <w:i/>
          <w:sz w:val="24"/>
          <w:szCs w:val="24"/>
          <w:lang w:eastAsia="pl-PL"/>
        </w:rPr>
        <w:t>(ujawnienia w zakresie systemu kontroli wewnętrznej wynikają z art. 111a Prawa bankowego)</w:t>
      </w:r>
    </w:p>
    <w:p w14:paraId="3A075FCD" w14:textId="77777777" w:rsidR="006B2447" w:rsidRPr="00ED417D" w:rsidRDefault="006B2447" w:rsidP="00236DB6">
      <w:pPr>
        <w:spacing w:after="0" w:line="240" w:lineRule="auto"/>
        <w:rPr>
          <w:rFonts w:ascii="Times New Roman" w:hAnsi="Times New Roman" w:cs="Times New Roman"/>
          <w:color w:val="FF0000"/>
          <w:sz w:val="24"/>
          <w:szCs w:val="24"/>
        </w:rPr>
      </w:pPr>
    </w:p>
    <w:p w14:paraId="47F30CFF" w14:textId="77777777" w:rsidR="0031513B" w:rsidRPr="004F5739" w:rsidRDefault="0031513B" w:rsidP="0031513B">
      <w:p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Funkcjonujący w Banku system zarządzania ryzykiem i system kontroli wewnętrznej są zorganizowane na trzech, niezależnych i wzajemnie uzupełniających się liniach obrony (poziomach).</w:t>
      </w:r>
    </w:p>
    <w:p w14:paraId="52465E17" w14:textId="77777777" w:rsidR="0031513B" w:rsidRPr="004F5739" w:rsidRDefault="0031513B" w:rsidP="000C62C3">
      <w:pPr>
        <w:pStyle w:val="Akapitzlist"/>
        <w:numPr>
          <w:ilvl w:val="0"/>
          <w:numId w:val="26"/>
        </w:num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 xml:space="preserve">Na </w:t>
      </w:r>
      <w:r w:rsidRPr="004F5739">
        <w:rPr>
          <w:rFonts w:ascii="Times New Roman" w:hAnsi="Times New Roman" w:cs="Times New Roman"/>
          <w:bCs/>
          <w:sz w:val="24"/>
          <w:szCs w:val="24"/>
          <w:u w:val="single"/>
        </w:rPr>
        <w:t>pierwszą linię obrony</w:t>
      </w:r>
      <w:r w:rsidRPr="004F5739">
        <w:rPr>
          <w:rFonts w:ascii="Times New Roman" w:hAnsi="Times New Roman" w:cs="Times New Roman"/>
          <w:bCs/>
          <w:sz w:val="24"/>
          <w:szCs w:val="24"/>
        </w:rPr>
        <w:t xml:space="preserve"> składa się operacyjne zarządzanie ryzykiem powstałym </w:t>
      </w:r>
      <w:r w:rsidRPr="004F5739">
        <w:rPr>
          <w:rFonts w:ascii="Times New Roman" w:hAnsi="Times New Roman" w:cs="Times New Roman"/>
          <w:bCs/>
          <w:sz w:val="24"/>
          <w:szCs w:val="24"/>
        </w:rPr>
        <w:br/>
        <w:t xml:space="preserve">w związku z działalnością prowadzoną przez Bank. </w:t>
      </w:r>
    </w:p>
    <w:p w14:paraId="70946ED2" w14:textId="77777777" w:rsidR="0031513B" w:rsidRPr="004F5739" w:rsidRDefault="0031513B" w:rsidP="000C62C3">
      <w:pPr>
        <w:pStyle w:val="Akapitzlist"/>
        <w:numPr>
          <w:ilvl w:val="0"/>
          <w:numId w:val="26"/>
        </w:num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 xml:space="preserve">Na </w:t>
      </w:r>
      <w:r w:rsidRPr="004F5739">
        <w:rPr>
          <w:rFonts w:ascii="Times New Roman" w:hAnsi="Times New Roman" w:cs="Times New Roman"/>
          <w:bCs/>
          <w:sz w:val="24"/>
          <w:szCs w:val="24"/>
          <w:u w:val="single"/>
        </w:rPr>
        <w:t>druga linię obrony</w:t>
      </w:r>
      <w:r w:rsidRPr="004F5739">
        <w:rPr>
          <w:rFonts w:ascii="Times New Roman" w:hAnsi="Times New Roman" w:cs="Times New Roman"/>
          <w:bCs/>
          <w:sz w:val="24"/>
          <w:szCs w:val="24"/>
        </w:rPr>
        <w:t xml:space="preserve"> składa się:</w:t>
      </w:r>
    </w:p>
    <w:p w14:paraId="096C5FA9" w14:textId="77777777" w:rsidR="0031513B" w:rsidRPr="004F5739" w:rsidRDefault="0031513B" w:rsidP="000C62C3">
      <w:pPr>
        <w:pStyle w:val="Akapitzlist"/>
        <w:numPr>
          <w:ilvl w:val="0"/>
          <w:numId w:val="27"/>
        </w:num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zarządzanie ryzykiem przez pracowników na specjalnie powołanych do tego stanowiskach lub w komórkach organizacyjnych, niezależnie od operacyjnego zarządzania ryzykiem na pierwszym poziomie,</w:t>
      </w:r>
    </w:p>
    <w:p w14:paraId="1D9E8321" w14:textId="77777777" w:rsidR="0031513B" w:rsidRPr="004F5739" w:rsidRDefault="0031513B" w:rsidP="000C62C3">
      <w:pPr>
        <w:pStyle w:val="Akapitzlist"/>
        <w:numPr>
          <w:ilvl w:val="0"/>
          <w:numId w:val="27"/>
        </w:num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 xml:space="preserve">komórka do spraw zgodności, </w:t>
      </w:r>
    </w:p>
    <w:p w14:paraId="16B835CF" w14:textId="7150BD09" w:rsidR="0031513B" w:rsidRPr="004F5739" w:rsidRDefault="0031513B" w:rsidP="000C62C3">
      <w:pPr>
        <w:pStyle w:val="Akapitzlist"/>
        <w:numPr>
          <w:ilvl w:val="0"/>
          <w:numId w:val="26"/>
        </w:num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u w:val="single"/>
        </w:rPr>
        <w:t>Trzecią linię obrony</w:t>
      </w:r>
      <w:r w:rsidRPr="004F5739">
        <w:rPr>
          <w:rFonts w:ascii="Times New Roman" w:hAnsi="Times New Roman" w:cs="Times New Roman"/>
          <w:bCs/>
          <w:sz w:val="24"/>
          <w:szCs w:val="24"/>
        </w:rPr>
        <w:t xml:space="preserve"> stanowi audyt wewnętrzny realizowany przez</w:t>
      </w:r>
      <w:r w:rsidR="006F7F05" w:rsidRPr="004F5739">
        <w:rPr>
          <w:rFonts w:ascii="Times New Roman" w:hAnsi="Times New Roman" w:cs="Times New Roman"/>
          <w:bCs/>
          <w:sz w:val="24"/>
          <w:szCs w:val="24"/>
        </w:rPr>
        <w:t xml:space="preserve"> Spółdzielnią Systemu Ochrony Zrzeszenia BPS</w:t>
      </w:r>
      <w:r w:rsidRPr="004F5739">
        <w:rPr>
          <w:rFonts w:ascii="Times New Roman" w:hAnsi="Times New Roman" w:cs="Times New Roman"/>
          <w:bCs/>
          <w:sz w:val="24"/>
          <w:szCs w:val="24"/>
        </w:rPr>
        <w:t>.</w:t>
      </w:r>
    </w:p>
    <w:p w14:paraId="33F4F2B5" w14:textId="77777777" w:rsidR="0031513B" w:rsidRPr="004F5739" w:rsidRDefault="0031513B" w:rsidP="004F5739">
      <w:pPr>
        <w:spacing w:after="0" w:line="240" w:lineRule="auto"/>
        <w:jc w:val="both"/>
        <w:rPr>
          <w:rFonts w:ascii="Times New Roman" w:hAnsi="Times New Roman" w:cs="Times New Roman"/>
          <w:bCs/>
          <w:sz w:val="24"/>
          <w:szCs w:val="24"/>
        </w:rPr>
      </w:pPr>
      <w:r w:rsidRPr="004F5739">
        <w:rPr>
          <w:rFonts w:ascii="Times New Roman" w:hAnsi="Times New Roman" w:cs="Times New Roman"/>
          <w:bCs/>
          <w:sz w:val="24"/>
          <w:szCs w:val="24"/>
        </w:rPr>
        <w:t>Na wszystkich trzech poziomach, w ramach systemu zarządzania ryzykiem i systemu kontroli wewnętrznej, pracownicy Banku w ramach realizowanych czynności odpowiednio stosują mechanizmy kontrolne lub niezależnie monitorują (poziomo lub pionowo) przestrzeganie mechanizmów kontrolnych.</w:t>
      </w:r>
    </w:p>
    <w:p w14:paraId="570FDF8C" w14:textId="77777777" w:rsidR="006B2447" w:rsidRPr="00ED417D" w:rsidRDefault="006B2447" w:rsidP="00B16891">
      <w:pPr>
        <w:spacing w:after="0" w:line="240" w:lineRule="auto"/>
        <w:rPr>
          <w:rFonts w:ascii="Times New Roman" w:hAnsi="Times New Roman" w:cs="Times New Roman"/>
          <w:color w:val="FF0000"/>
          <w:sz w:val="24"/>
          <w:szCs w:val="24"/>
        </w:rPr>
      </w:pPr>
    </w:p>
    <w:p w14:paraId="16FFD6E1" w14:textId="77777777" w:rsidR="001909BB" w:rsidRPr="00EE355E" w:rsidRDefault="001909BB" w:rsidP="00B16891">
      <w:pPr>
        <w:spacing w:after="0" w:line="240" w:lineRule="auto"/>
        <w:rPr>
          <w:rFonts w:ascii="Times New Roman" w:hAnsi="Times New Roman" w:cs="Times New Roman"/>
          <w:sz w:val="24"/>
          <w:szCs w:val="24"/>
        </w:rPr>
      </w:pPr>
      <w:r w:rsidRPr="00EE355E">
        <w:rPr>
          <w:rFonts w:ascii="Times New Roman" w:hAnsi="Times New Roman" w:cs="Times New Roman"/>
          <w:sz w:val="24"/>
          <w:szCs w:val="24"/>
        </w:rPr>
        <w:t>Poszczególne linie obrony, w ramach systemu kontroli wewnętrznej są odpowiedzialne za:</w:t>
      </w:r>
    </w:p>
    <w:p w14:paraId="6FE3211F" w14:textId="77777777" w:rsidR="001909BB" w:rsidRPr="00EE355E" w:rsidRDefault="001909BB" w:rsidP="000C62C3">
      <w:pPr>
        <w:pStyle w:val="Akapitzlist"/>
        <w:numPr>
          <w:ilvl w:val="0"/>
          <w:numId w:val="29"/>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lastRenderedPageBreak/>
        <w:t>Pierwsza linia obrony – projektowanie i zapewnienie przestrzegania mechanizmów kontrolnych, w szczególności w procesach biznesowych funkcjonujących w Banku oraz zgodności postępowania z regulacjami.</w:t>
      </w:r>
    </w:p>
    <w:p w14:paraId="777A829E" w14:textId="77777777" w:rsidR="001909BB" w:rsidRPr="00EE355E" w:rsidRDefault="001909BB" w:rsidP="000C62C3">
      <w:pPr>
        <w:pStyle w:val="Akapitzlist"/>
        <w:numPr>
          <w:ilvl w:val="0"/>
          <w:numId w:val="29"/>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Druga linia obrony:</w:t>
      </w:r>
    </w:p>
    <w:p w14:paraId="31F1D804"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monitorowanie bieżące przyjętych mechanizmów kontrolnych,</w:t>
      </w:r>
    </w:p>
    <w:p w14:paraId="25F8EB98"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przeprowadzanie pionowych testów mechanizmów kontrolnych,</w:t>
      </w:r>
    </w:p>
    <w:p w14:paraId="5972ED66"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ocenę adekwatności i skuteczności mechanizmów kontrolnych,</w:t>
      </w:r>
    </w:p>
    <w:p w14:paraId="290A5153"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matrycę funkcji kontroli,</w:t>
      </w:r>
    </w:p>
    <w:p w14:paraId="0BDEACE1"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prowadzenie rejestru nieprawidłowości znaczących i krytycznych,</w:t>
      </w:r>
    </w:p>
    <w:p w14:paraId="789AF167" w14:textId="77777777" w:rsidR="001909BB" w:rsidRPr="00EE355E" w:rsidRDefault="001909BB" w:rsidP="000C62C3">
      <w:pPr>
        <w:pStyle w:val="Akapitzlist"/>
        <w:numPr>
          <w:ilvl w:val="0"/>
          <w:numId w:val="28"/>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raportowanie znaczących i krytycznych nieprawidłowości.</w:t>
      </w:r>
    </w:p>
    <w:p w14:paraId="6B2BE910" w14:textId="77777777" w:rsidR="001909BB" w:rsidRPr="00EE355E" w:rsidRDefault="001909BB" w:rsidP="000C62C3">
      <w:pPr>
        <w:pStyle w:val="Akapitzlist"/>
        <w:numPr>
          <w:ilvl w:val="0"/>
          <w:numId w:val="29"/>
        </w:numPr>
        <w:spacing w:after="0" w:line="240" w:lineRule="auto"/>
        <w:jc w:val="both"/>
        <w:rPr>
          <w:rFonts w:ascii="Times New Roman" w:hAnsi="Times New Roman" w:cs="Times New Roman"/>
          <w:bCs/>
          <w:sz w:val="24"/>
          <w:szCs w:val="24"/>
        </w:rPr>
      </w:pPr>
      <w:r w:rsidRPr="00EE355E">
        <w:rPr>
          <w:rFonts w:ascii="Times New Roman" w:hAnsi="Times New Roman" w:cs="Times New Roman"/>
          <w:bCs/>
          <w:sz w:val="24"/>
          <w:szCs w:val="24"/>
        </w:rPr>
        <w:t xml:space="preserve">Trzecia linia obrony odpowiedzialna jest za badanie oraz ocenę adekwatności </w:t>
      </w:r>
      <w:r w:rsidRPr="00EE355E">
        <w:rPr>
          <w:rFonts w:ascii="Times New Roman" w:hAnsi="Times New Roman" w:cs="Times New Roman"/>
          <w:bCs/>
          <w:sz w:val="24"/>
          <w:szCs w:val="24"/>
        </w:rPr>
        <w:br/>
        <w:t>i skuteczności mechanizmów kontroli i niezależnego monitorowania ich przestrzegania odpowiednio w ramach pierwszej i drugiej linii obrony, zarówno w odniesieniu do systemu zarządzania ryzykiem, jak i systemu kontroli wewnętrznej.</w:t>
      </w:r>
    </w:p>
    <w:p w14:paraId="0E98F357" w14:textId="77777777" w:rsidR="001909BB" w:rsidRPr="00ED417D" w:rsidRDefault="001909BB" w:rsidP="001909BB">
      <w:pPr>
        <w:pStyle w:val="Akapitzlist"/>
        <w:spacing w:after="0" w:line="240" w:lineRule="auto"/>
        <w:ind w:left="360"/>
        <w:jc w:val="both"/>
        <w:rPr>
          <w:rFonts w:ascii="Times New Roman" w:hAnsi="Times New Roman" w:cs="Times New Roman"/>
          <w:bCs/>
          <w:color w:val="FF0000"/>
          <w:sz w:val="24"/>
          <w:szCs w:val="24"/>
        </w:rPr>
      </w:pPr>
    </w:p>
    <w:p w14:paraId="1CBC1312" w14:textId="77777777" w:rsidR="001909BB" w:rsidRPr="008C55BA" w:rsidRDefault="001909BB" w:rsidP="00526053">
      <w:pPr>
        <w:pStyle w:val="Akapitzlist"/>
        <w:suppressAutoHyphens/>
        <w:autoSpaceDE w:val="0"/>
        <w:spacing w:after="0" w:line="240" w:lineRule="auto"/>
        <w:ind w:left="0"/>
        <w:jc w:val="both"/>
        <w:rPr>
          <w:rFonts w:ascii="Times New Roman" w:hAnsi="Times New Roman" w:cs="Times New Roman"/>
          <w:bCs/>
          <w:sz w:val="24"/>
          <w:szCs w:val="24"/>
        </w:rPr>
      </w:pPr>
      <w:r w:rsidRPr="008C55BA">
        <w:rPr>
          <w:rFonts w:ascii="Times New Roman" w:hAnsi="Times New Roman" w:cs="Times New Roman"/>
          <w:bCs/>
          <w:sz w:val="24"/>
          <w:szCs w:val="24"/>
        </w:rPr>
        <w:t>W Banku zapewniona jest niezależność monitorowania pionowego poprzez jednoznaczne wyodrębnienie linii obrony oraz niezależność monitorowania poziomego poprzez rozdzielenie zadań dotyczących stosowania danego mechanizmu kontrolnego i niezależnego monitorowania jego przestrzegania w ramach danej linii.</w:t>
      </w:r>
    </w:p>
    <w:p w14:paraId="7634516F" w14:textId="77777777" w:rsidR="001909BB" w:rsidRPr="008C55BA" w:rsidRDefault="001909BB" w:rsidP="00526053">
      <w:pPr>
        <w:pStyle w:val="Akapitzlist"/>
        <w:suppressAutoHyphens/>
        <w:autoSpaceDE w:val="0"/>
        <w:spacing w:after="0" w:line="240" w:lineRule="auto"/>
        <w:ind w:left="0"/>
        <w:jc w:val="both"/>
        <w:rPr>
          <w:rFonts w:ascii="Times New Roman" w:hAnsi="Times New Roman" w:cs="Times New Roman"/>
          <w:bCs/>
          <w:sz w:val="24"/>
          <w:szCs w:val="24"/>
        </w:rPr>
      </w:pPr>
      <w:r w:rsidRPr="008C55BA">
        <w:rPr>
          <w:rFonts w:ascii="Times New Roman" w:hAnsi="Times New Roman" w:cs="Times New Roman"/>
          <w:bCs/>
          <w:sz w:val="24"/>
          <w:szCs w:val="24"/>
        </w:rPr>
        <w:t>Za monitorowanie poziome (weryfikacja bieżąca, testowanie) w ramach danej linii odpowiedzialni są wyznaczeni pracownicy, w tym kierownicy jednostek/komórek organizacyjnych.</w:t>
      </w:r>
    </w:p>
    <w:p w14:paraId="5024FC7E" w14:textId="74B7A461" w:rsidR="001909BB" w:rsidRPr="008C55BA" w:rsidRDefault="001909BB" w:rsidP="00526053">
      <w:pPr>
        <w:pStyle w:val="Akapitzlist"/>
        <w:suppressAutoHyphens/>
        <w:autoSpaceDE w:val="0"/>
        <w:spacing w:after="0" w:line="240" w:lineRule="auto"/>
        <w:ind w:left="0"/>
        <w:jc w:val="both"/>
        <w:rPr>
          <w:rFonts w:ascii="Times New Roman" w:hAnsi="Times New Roman" w:cs="Times New Roman"/>
          <w:bCs/>
          <w:sz w:val="24"/>
          <w:szCs w:val="24"/>
        </w:rPr>
      </w:pPr>
      <w:r w:rsidRPr="008C55BA">
        <w:rPr>
          <w:rFonts w:ascii="Times New Roman" w:hAnsi="Times New Roman" w:cs="Times New Roman"/>
          <w:bCs/>
          <w:sz w:val="24"/>
          <w:szCs w:val="24"/>
        </w:rPr>
        <w:t xml:space="preserve">Za monitorowanie pionowe pierwszej linii obrony przez drugą linię obrony odpowiada  komórka </w:t>
      </w:r>
      <w:r w:rsidR="005C4D46" w:rsidRPr="008C55BA">
        <w:rPr>
          <w:rFonts w:ascii="Times New Roman" w:hAnsi="Times New Roman" w:cs="Times New Roman"/>
          <w:bCs/>
          <w:sz w:val="24"/>
          <w:szCs w:val="24"/>
        </w:rPr>
        <w:t>ds.</w:t>
      </w:r>
      <w:r w:rsidRPr="008C55BA">
        <w:rPr>
          <w:rFonts w:ascii="Times New Roman" w:hAnsi="Times New Roman" w:cs="Times New Roman"/>
          <w:bCs/>
          <w:sz w:val="24"/>
          <w:szCs w:val="24"/>
        </w:rPr>
        <w:t xml:space="preserve"> zgodności.</w:t>
      </w:r>
    </w:p>
    <w:p w14:paraId="5C0BF225" w14:textId="515566CF" w:rsidR="00A803C7" w:rsidRPr="00ED417D" w:rsidRDefault="00A803C7" w:rsidP="00B16891">
      <w:pPr>
        <w:spacing w:after="0" w:line="240" w:lineRule="auto"/>
        <w:rPr>
          <w:rFonts w:ascii="Times New Roman" w:hAnsi="Times New Roman" w:cs="Times New Roman"/>
          <w:color w:val="FF0000"/>
          <w:sz w:val="24"/>
          <w:szCs w:val="24"/>
        </w:rPr>
      </w:pPr>
    </w:p>
    <w:p w14:paraId="5455E638" w14:textId="77777777" w:rsidR="00A803C7" w:rsidRPr="008C55BA" w:rsidRDefault="00A803C7" w:rsidP="00B16891">
      <w:pPr>
        <w:spacing w:after="0" w:line="240" w:lineRule="auto"/>
        <w:rPr>
          <w:rFonts w:ascii="Times New Roman" w:hAnsi="Times New Roman" w:cs="Times New Roman"/>
          <w:sz w:val="24"/>
          <w:szCs w:val="24"/>
        </w:rPr>
      </w:pPr>
    </w:p>
    <w:p w14:paraId="6E433882" w14:textId="77777777" w:rsidR="002F7788" w:rsidRPr="008C55BA" w:rsidRDefault="002F7788" w:rsidP="00607ED4">
      <w:pPr>
        <w:pStyle w:val="Akapitzlis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ind w:left="426" w:hanging="426"/>
        <w:rPr>
          <w:rFonts w:ascii="Century" w:hAnsi="Century" w:cs="Times New Roman"/>
          <w:b/>
          <w:sz w:val="24"/>
          <w:szCs w:val="24"/>
        </w:rPr>
      </w:pPr>
      <w:r w:rsidRPr="008C55BA">
        <w:rPr>
          <w:rFonts w:ascii="Century" w:hAnsi="Century" w:cs="Times New Roman"/>
          <w:b/>
          <w:sz w:val="24"/>
          <w:szCs w:val="24"/>
        </w:rPr>
        <w:t>Aktywa obciążone/nieobciążone</w:t>
      </w:r>
    </w:p>
    <w:p w14:paraId="23DBD7A0" w14:textId="77777777" w:rsidR="002F7788" w:rsidRPr="008C55BA" w:rsidRDefault="002F7788" w:rsidP="00236DB6">
      <w:pPr>
        <w:spacing w:after="0" w:line="240" w:lineRule="auto"/>
        <w:jc w:val="center"/>
        <w:rPr>
          <w:rFonts w:ascii="Times New Roman" w:hAnsi="Times New Roman" w:cs="Times New Roman"/>
          <w:sz w:val="24"/>
          <w:szCs w:val="24"/>
        </w:rPr>
      </w:pPr>
    </w:p>
    <w:p w14:paraId="770F60BD" w14:textId="05E8F21A" w:rsidR="00743C72" w:rsidRPr="008C55BA" w:rsidRDefault="00A803C7" w:rsidP="00376D0F">
      <w:pPr>
        <w:spacing w:after="0" w:line="240" w:lineRule="auto"/>
        <w:ind w:left="360"/>
        <w:jc w:val="both"/>
        <w:rPr>
          <w:rFonts w:ascii="Times New Roman" w:hAnsi="Times New Roman" w:cs="Times New Roman"/>
          <w:sz w:val="24"/>
          <w:szCs w:val="24"/>
        </w:rPr>
      </w:pPr>
      <w:r w:rsidRPr="008C55BA">
        <w:rPr>
          <w:rFonts w:ascii="Times New Roman" w:hAnsi="Times New Roman" w:cs="Times New Roman"/>
          <w:sz w:val="24"/>
          <w:szCs w:val="24"/>
        </w:rPr>
        <w:t>Bank Spółdzielczy w Iłowej nie dokonuje zabezpieczeń papierami wartościowymi.</w:t>
      </w:r>
    </w:p>
    <w:p w14:paraId="0A5A593C" w14:textId="471DF796" w:rsidR="00A803C7" w:rsidRPr="008C55BA" w:rsidRDefault="00A803C7" w:rsidP="00376D0F">
      <w:pPr>
        <w:spacing w:after="0" w:line="240" w:lineRule="auto"/>
        <w:ind w:left="360"/>
        <w:jc w:val="both"/>
        <w:rPr>
          <w:rFonts w:ascii="Times New Roman" w:hAnsi="Times New Roman" w:cs="Times New Roman"/>
          <w:sz w:val="24"/>
          <w:szCs w:val="24"/>
        </w:rPr>
      </w:pPr>
    </w:p>
    <w:p w14:paraId="63B01673" w14:textId="77777777" w:rsidR="00A803C7" w:rsidRPr="008C55BA" w:rsidRDefault="00A803C7" w:rsidP="00376D0F">
      <w:pPr>
        <w:spacing w:after="0" w:line="240" w:lineRule="auto"/>
        <w:ind w:left="360"/>
        <w:jc w:val="both"/>
        <w:rPr>
          <w:rFonts w:ascii="Times New Roman" w:hAnsi="Times New Roman" w:cs="Times New Roman"/>
          <w:sz w:val="24"/>
          <w:szCs w:val="24"/>
        </w:rPr>
      </w:pPr>
    </w:p>
    <w:p w14:paraId="23FF1C3C" w14:textId="65718063" w:rsidR="006B2447" w:rsidRPr="008C55BA" w:rsidRDefault="00251B18" w:rsidP="00236DB6">
      <w:pPr>
        <w:spacing w:after="0" w:line="240" w:lineRule="auto"/>
        <w:rPr>
          <w:rFonts w:ascii="Times New Roman" w:hAnsi="Times New Roman" w:cs="Times New Roman"/>
          <w:b/>
          <w:bCs/>
          <w:sz w:val="24"/>
          <w:szCs w:val="24"/>
        </w:rPr>
      </w:pPr>
      <w:r w:rsidRPr="008C55BA">
        <w:rPr>
          <w:rFonts w:ascii="Times New Roman" w:hAnsi="Times New Roman" w:cs="Times New Roman"/>
          <w:b/>
          <w:bCs/>
          <w:sz w:val="24"/>
          <w:szCs w:val="24"/>
        </w:rPr>
        <w:t>Zarząd Banku Spółdzielczego w Iłowej zatwierdza informację z zakresu profilu ryzyka i poziomu kapitału wg stanu na 31.12.20</w:t>
      </w:r>
      <w:r w:rsidR="008C55BA" w:rsidRPr="008C55BA">
        <w:rPr>
          <w:rFonts w:ascii="Times New Roman" w:hAnsi="Times New Roman" w:cs="Times New Roman"/>
          <w:b/>
          <w:bCs/>
          <w:sz w:val="24"/>
          <w:szCs w:val="24"/>
        </w:rPr>
        <w:t>20</w:t>
      </w:r>
      <w:r w:rsidRPr="008C55BA">
        <w:rPr>
          <w:rFonts w:ascii="Times New Roman" w:hAnsi="Times New Roman" w:cs="Times New Roman"/>
          <w:b/>
          <w:bCs/>
          <w:sz w:val="24"/>
          <w:szCs w:val="24"/>
        </w:rPr>
        <w:t xml:space="preserve"> roku:</w:t>
      </w:r>
    </w:p>
    <w:p w14:paraId="372161D3" w14:textId="16B2A469" w:rsidR="00251B18" w:rsidRPr="008C55BA" w:rsidRDefault="00251B18" w:rsidP="00236DB6">
      <w:pPr>
        <w:spacing w:after="0" w:line="240" w:lineRule="auto"/>
        <w:rPr>
          <w:rFonts w:ascii="Times New Roman" w:hAnsi="Times New Roman" w:cs="Times New Roman"/>
          <w:sz w:val="24"/>
          <w:szCs w:val="24"/>
        </w:rPr>
      </w:pPr>
    </w:p>
    <w:p w14:paraId="5E5A11EE" w14:textId="63D28A3D" w:rsidR="00251B18" w:rsidRPr="008C55BA" w:rsidRDefault="00251B18" w:rsidP="00236DB6">
      <w:pPr>
        <w:spacing w:after="0" w:line="240" w:lineRule="auto"/>
        <w:rPr>
          <w:rFonts w:ascii="Times New Roman" w:hAnsi="Times New Roman" w:cs="Times New Roman"/>
          <w:sz w:val="24"/>
          <w:szCs w:val="24"/>
        </w:rPr>
      </w:pPr>
      <w:r w:rsidRPr="008C55BA">
        <w:rPr>
          <w:rFonts w:ascii="Times New Roman" w:hAnsi="Times New Roman" w:cs="Times New Roman"/>
          <w:sz w:val="24"/>
          <w:szCs w:val="24"/>
        </w:rPr>
        <w:t>Prezes Zarządu</w:t>
      </w:r>
      <w:r w:rsidRPr="008C55BA">
        <w:rPr>
          <w:rFonts w:ascii="Times New Roman" w:hAnsi="Times New Roman" w:cs="Times New Roman"/>
          <w:sz w:val="24"/>
          <w:szCs w:val="24"/>
        </w:rPr>
        <w:tab/>
      </w:r>
      <w:r w:rsidRPr="008C55BA">
        <w:rPr>
          <w:rFonts w:ascii="Times New Roman" w:hAnsi="Times New Roman" w:cs="Times New Roman"/>
          <w:sz w:val="24"/>
          <w:szCs w:val="24"/>
        </w:rPr>
        <w:tab/>
      </w:r>
      <w:r w:rsidRPr="008C55BA">
        <w:rPr>
          <w:rFonts w:ascii="Times New Roman" w:hAnsi="Times New Roman" w:cs="Times New Roman"/>
          <w:sz w:val="24"/>
          <w:szCs w:val="24"/>
        </w:rPr>
        <w:tab/>
      </w:r>
      <w:r w:rsidRPr="008C55BA">
        <w:rPr>
          <w:rFonts w:ascii="Times New Roman" w:hAnsi="Times New Roman" w:cs="Times New Roman"/>
          <w:sz w:val="24"/>
          <w:szCs w:val="24"/>
        </w:rPr>
        <w:tab/>
      </w:r>
      <w:r w:rsidRPr="008C55BA">
        <w:rPr>
          <w:rFonts w:ascii="Times New Roman" w:hAnsi="Times New Roman" w:cs="Times New Roman"/>
          <w:sz w:val="24"/>
          <w:szCs w:val="24"/>
        </w:rPr>
        <w:tab/>
        <w:t>- Jan Feduszczak</w:t>
      </w:r>
    </w:p>
    <w:p w14:paraId="0C88C1D5" w14:textId="7580C0CC" w:rsidR="00251B18" w:rsidRPr="008C55BA" w:rsidRDefault="00251B18" w:rsidP="00236DB6">
      <w:pPr>
        <w:spacing w:after="0" w:line="240" w:lineRule="auto"/>
        <w:rPr>
          <w:rFonts w:ascii="Times New Roman" w:hAnsi="Times New Roman" w:cs="Times New Roman"/>
          <w:sz w:val="24"/>
          <w:szCs w:val="24"/>
        </w:rPr>
      </w:pPr>
    </w:p>
    <w:p w14:paraId="677149B1" w14:textId="0025079C" w:rsidR="00251B18" w:rsidRPr="008C55BA" w:rsidRDefault="00251B18" w:rsidP="00236DB6">
      <w:pPr>
        <w:spacing w:after="0" w:line="240" w:lineRule="auto"/>
        <w:rPr>
          <w:rFonts w:ascii="Times New Roman" w:hAnsi="Times New Roman" w:cs="Times New Roman"/>
          <w:sz w:val="24"/>
          <w:szCs w:val="24"/>
        </w:rPr>
      </w:pPr>
    </w:p>
    <w:p w14:paraId="27A1AC43" w14:textId="005A4FDA" w:rsidR="00251B18" w:rsidRPr="008C55BA" w:rsidRDefault="00251B18" w:rsidP="00236DB6">
      <w:pPr>
        <w:spacing w:after="0" w:line="240" w:lineRule="auto"/>
        <w:rPr>
          <w:rFonts w:ascii="Times New Roman" w:hAnsi="Times New Roman" w:cs="Times New Roman"/>
          <w:sz w:val="24"/>
          <w:szCs w:val="24"/>
        </w:rPr>
      </w:pPr>
    </w:p>
    <w:p w14:paraId="23B600F7" w14:textId="1F0E3116" w:rsidR="00251B18" w:rsidRPr="008C55BA" w:rsidRDefault="00251B18" w:rsidP="00236DB6">
      <w:pPr>
        <w:spacing w:after="0" w:line="240" w:lineRule="auto"/>
        <w:rPr>
          <w:rFonts w:ascii="Times New Roman" w:hAnsi="Times New Roman" w:cs="Times New Roman"/>
          <w:sz w:val="24"/>
          <w:szCs w:val="24"/>
        </w:rPr>
      </w:pPr>
      <w:r w:rsidRPr="008C55BA">
        <w:rPr>
          <w:rFonts w:ascii="Times New Roman" w:hAnsi="Times New Roman" w:cs="Times New Roman"/>
          <w:sz w:val="24"/>
          <w:szCs w:val="24"/>
        </w:rPr>
        <w:t>Wiceprezes Zarządu ds. finansowo – księgowych</w:t>
      </w:r>
      <w:r w:rsidRPr="008C55BA">
        <w:rPr>
          <w:rFonts w:ascii="Times New Roman" w:hAnsi="Times New Roman" w:cs="Times New Roman"/>
          <w:sz w:val="24"/>
          <w:szCs w:val="24"/>
        </w:rPr>
        <w:tab/>
        <w:t>- Anna Krukowska</w:t>
      </w:r>
    </w:p>
    <w:p w14:paraId="7E7DD42F" w14:textId="1117DC75" w:rsidR="00251B18" w:rsidRPr="008C55BA" w:rsidRDefault="00251B18" w:rsidP="00236DB6">
      <w:pPr>
        <w:spacing w:after="0" w:line="240" w:lineRule="auto"/>
        <w:rPr>
          <w:rFonts w:ascii="Times New Roman" w:hAnsi="Times New Roman" w:cs="Times New Roman"/>
          <w:sz w:val="24"/>
          <w:szCs w:val="24"/>
        </w:rPr>
      </w:pPr>
    </w:p>
    <w:p w14:paraId="5B711E3D" w14:textId="77777777" w:rsidR="00ED4A56" w:rsidRPr="008C55BA" w:rsidRDefault="00ED4A56" w:rsidP="00236DB6">
      <w:pPr>
        <w:spacing w:after="0" w:line="240" w:lineRule="auto"/>
        <w:rPr>
          <w:rFonts w:ascii="Times New Roman" w:hAnsi="Times New Roman" w:cs="Times New Roman"/>
          <w:sz w:val="24"/>
          <w:szCs w:val="24"/>
        </w:rPr>
      </w:pPr>
    </w:p>
    <w:p w14:paraId="4A6B49E8" w14:textId="10FF1EB4" w:rsidR="00251B18" w:rsidRPr="008C55BA" w:rsidRDefault="00251B18" w:rsidP="00236DB6">
      <w:pPr>
        <w:spacing w:after="0" w:line="240" w:lineRule="auto"/>
        <w:rPr>
          <w:rFonts w:ascii="Times New Roman" w:hAnsi="Times New Roman" w:cs="Times New Roman"/>
          <w:sz w:val="24"/>
          <w:szCs w:val="24"/>
        </w:rPr>
      </w:pPr>
    </w:p>
    <w:p w14:paraId="26499591" w14:textId="67AB7A6E" w:rsidR="00251B18" w:rsidRPr="008C55BA" w:rsidRDefault="00251B18" w:rsidP="00236DB6">
      <w:pPr>
        <w:spacing w:after="0" w:line="240" w:lineRule="auto"/>
        <w:rPr>
          <w:rFonts w:ascii="Times New Roman" w:hAnsi="Times New Roman" w:cs="Times New Roman"/>
          <w:sz w:val="24"/>
          <w:szCs w:val="24"/>
        </w:rPr>
      </w:pPr>
      <w:r w:rsidRPr="008C55BA">
        <w:rPr>
          <w:rFonts w:ascii="Times New Roman" w:hAnsi="Times New Roman" w:cs="Times New Roman"/>
          <w:sz w:val="24"/>
          <w:szCs w:val="24"/>
        </w:rPr>
        <w:t>Wiceprezes Zarządu ds. handlowych</w:t>
      </w:r>
      <w:r w:rsidRPr="008C55BA">
        <w:rPr>
          <w:rFonts w:ascii="Times New Roman" w:hAnsi="Times New Roman" w:cs="Times New Roman"/>
          <w:sz w:val="24"/>
          <w:szCs w:val="24"/>
        </w:rPr>
        <w:tab/>
      </w:r>
      <w:r w:rsidRPr="008C55BA">
        <w:rPr>
          <w:rFonts w:ascii="Times New Roman" w:hAnsi="Times New Roman" w:cs="Times New Roman"/>
          <w:sz w:val="24"/>
          <w:szCs w:val="24"/>
        </w:rPr>
        <w:tab/>
      </w:r>
      <w:r w:rsidRPr="008C55BA">
        <w:rPr>
          <w:rFonts w:ascii="Times New Roman" w:hAnsi="Times New Roman" w:cs="Times New Roman"/>
          <w:sz w:val="24"/>
          <w:szCs w:val="24"/>
        </w:rPr>
        <w:tab/>
        <w:t xml:space="preserve">- </w:t>
      </w:r>
      <w:r w:rsidR="00EE355E">
        <w:rPr>
          <w:rFonts w:ascii="Times New Roman" w:hAnsi="Times New Roman" w:cs="Times New Roman"/>
          <w:sz w:val="24"/>
          <w:szCs w:val="24"/>
        </w:rPr>
        <w:t>Małgorzata Skukowska</w:t>
      </w:r>
    </w:p>
    <w:p w14:paraId="435C273A" w14:textId="4159AC65" w:rsidR="00251B18" w:rsidRPr="008C55BA" w:rsidRDefault="00251B18" w:rsidP="00236DB6">
      <w:pPr>
        <w:spacing w:after="0" w:line="240" w:lineRule="auto"/>
        <w:rPr>
          <w:rFonts w:ascii="Times New Roman" w:hAnsi="Times New Roman" w:cs="Times New Roman"/>
          <w:sz w:val="24"/>
          <w:szCs w:val="24"/>
        </w:rPr>
      </w:pPr>
    </w:p>
    <w:p w14:paraId="28376DBE" w14:textId="7179DDB3" w:rsidR="00251B18" w:rsidRPr="008C55BA" w:rsidRDefault="00251B18" w:rsidP="00236DB6">
      <w:pPr>
        <w:spacing w:after="0" w:line="240" w:lineRule="auto"/>
        <w:rPr>
          <w:rFonts w:ascii="Times New Roman" w:hAnsi="Times New Roman" w:cs="Times New Roman"/>
          <w:sz w:val="24"/>
          <w:szCs w:val="24"/>
        </w:rPr>
      </w:pPr>
    </w:p>
    <w:p w14:paraId="20D67186" w14:textId="77777777" w:rsidR="0056071B" w:rsidRPr="008C55BA" w:rsidRDefault="0056071B" w:rsidP="00236DB6">
      <w:pPr>
        <w:spacing w:after="0" w:line="240" w:lineRule="auto"/>
        <w:rPr>
          <w:rFonts w:ascii="Times New Roman" w:hAnsi="Times New Roman" w:cs="Times New Roman"/>
          <w:sz w:val="24"/>
          <w:szCs w:val="24"/>
        </w:rPr>
      </w:pPr>
    </w:p>
    <w:p w14:paraId="5FBAF160" w14:textId="21CAEB49" w:rsidR="00251B18" w:rsidRPr="008C55BA" w:rsidRDefault="00251B18" w:rsidP="00236DB6">
      <w:pPr>
        <w:spacing w:after="0" w:line="240" w:lineRule="auto"/>
        <w:rPr>
          <w:rFonts w:ascii="Times New Roman" w:hAnsi="Times New Roman" w:cs="Times New Roman"/>
          <w:sz w:val="24"/>
          <w:szCs w:val="24"/>
        </w:rPr>
      </w:pPr>
    </w:p>
    <w:p w14:paraId="00B10938" w14:textId="30F303F8" w:rsidR="00251B18" w:rsidRPr="00ED417D" w:rsidRDefault="00251B18" w:rsidP="00236DB6">
      <w:pPr>
        <w:spacing w:after="0" w:line="240" w:lineRule="auto"/>
        <w:rPr>
          <w:rFonts w:ascii="Times New Roman" w:hAnsi="Times New Roman" w:cs="Times New Roman"/>
          <w:color w:val="FF0000"/>
          <w:sz w:val="24"/>
          <w:szCs w:val="24"/>
        </w:rPr>
      </w:pPr>
      <w:r w:rsidRPr="008C55BA">
        <w:rPr>
          <w:rFonts w:ascii="Times New Roman" w:hAnsi="Times New Roman" w:cs="Times New Roman"/>
          <w:sz w:val="24"/>
          <w:szCs w:val="24"/>
        </w:rPr>
        <w:t>Iłowa, dnia</w:t>
      </w:r>
      <w:r w:rsidR="0049337B">
        <w:rPr>
          <w:rFonts w:ascii="Times New Roman" w:hAnsi="Times New Roman" w:cs="Times New Roman"/>
          <w:sz w:val="24"/>
          <w:szCs w:val="24"/>
        </w:rPr>
        <w:t xml:space="preserve"> 15.06.2021r.</w:t>
      </w:r>
    </w:p>
    <w:sectPr w:rsidR="00251B18" w:rsidRPr="00ED417D" w:rsidSect="00C008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6391" w14:textId="77777777" w:rsidR="00E05050" w:rsidRDefault="00E05050" w:rsidP="0031513B">
      <w:pPr>
        <w:spacing w:after="0" w:line="240" w:lineRule="auto"/>
      </w:pPr>
      <w:r>
        <w:separator/>
      </w:r>
    </w:p>
  </w:endnote>
  <w:endnote w:type="continuationSeparator" w:id="0">
    <w:p w14:paraId="5BBD7E21" w14:textId="77777777" w:rsidR="00E05050" w:rsidRDefault="00E05050" w:rsidP="0031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217583"/>
      <w:docPartObj>
        <w:docPartGallery w:val="Page Numbers (Bottom of Page)"/>
        <w:docPartUnique/>
      </w:docPartObj>
    </w:sdtPr>
    <w:sdtEndPr/>
    <w:sdtContent>
      <w:p w14:paraId="1D3E10D0" w14:textId="77777777" w:rsidR="00D53713" w:rsidRDefault="00D53713">
        <w:pPr>
          <w:pStyle w:val="Stopka"/>
          <w:jc w:val="center"/>
        </w:pPr>
        <w:r>
          <w:fldChar w:fldCharType="begin"/>
        </w:r>
        <w:r>
          <w:instrText>PAGE   \* MERGEFORMAT</w:instrText>
        </w:r>
        <w:r>
          <w:fldChar w:fldCharType="separate"/>
        </w:r>
        <w:r>
          <w:rPr>
            <w:noProof/>
          </w:rPr>
          <w:t>1</w:t>
        </w:r>
        <w:r>
          <w:fldChar w:fldCharType="end"/>
        </w:r>
      </w:p>
    </w:sdtContent>
  </w:sdt>
  <w:p w14:paraId="7117BB19" w14:textId="77777777" w:rsidR="00D53713" w:rsidRDefault="00D537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0E57" w14:textId="77777777" w:rsidR="00E05050" w:rsidRDefault="00E05050" w:rsidP="0031513B">
      <w:pPr>
        <w:spacing w:after="0" w:line="240" w:lineRule="auto"/>
      </w:pPr>
      <w:r>
        <w:separator/>
      </w:r>
    </w:p>
  </w:footnote>
  <w:footnote w:type="continuationSeparator" w:id="0">
    <w:p w14:paraId="10700C50" w14:textId="77777777" w:rsidR="00E05050" w:rsidRDefault="00E05050" w:rsidP="00315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
      <w:lvlJc w:val="left"/>
      <w:pPr>
        <w:tabs>
          <w:tab w:val="num" w:pos="283"/>
        </w:tabs>
        <w:ind w:left="283" w:hanging="283"/>
      </w:pPr>
      <w:rPr>
        <w:rFonts w:ascii="Times New Roman" w:hAnsi="Times New Roman" w:cs="Times New Roman"/>
        <w:b w:val="0"/>
        <w:i w:val="0"/>
        <w:sz w:val="24"/>
        <w:szCs w:val="24"/>
        <w:u w:val="none"/>
      </w:rPr>
    </w:lvl>
  </w:abstractNum>
  <w:abstractNum w:abstractNumId="1" w15:restartNumberingAfterBreak="0">
    <w:nsid w:val="00000052"/>
    <w:multiLevelType w:val="multilevel"/>
    <w:tmpl w:val="6C964796"/>
    <w:lvl w:ilvl="0">
      <w:start w:val="1"/>
      <w:numFmt w:val="decimal"/>
      <w:suff w:val="nothing"/>
      <w:lvlText w:val="§ %1"/>
      <w:lvlJc w:val="center"/>
      <w:pPr>
        <w:ind w:left="2410" w:firstLine="0"/>
      </w:pPr>
      <w:rPr>
        <w:rFonts w:ascii="Times New Roman" w:hAnsi="Times New Roman" w:hint="default"/>
        <w:b w:val="0"/>
        <w:i w:val="0"/>
        <w:sz w:val="24"/>
      </w:rPr>
    </w:lvl>
    <w:lvl w:ilvl="1">
      <w:start w:val="1"/>
      <w:numFmt w:val="decimal"/>
      <w:lvlText w:val="%2.)"/>
      <w:lvlJc w:val="left"/>
      <w:pPr>
        <w:tabs>
          <w:tab w:val="num" w:pos="6862"/>
        </w:tabs>
        <w:ind w:left="6862" w:hanging="340"/>
      </w:pPr>
      <w:rPr>
        <w:rFonts w:ascii="Times New Roman" w:hAnsi="Times New Roman" w:hint="default"/>
        <w:b w:val="0"/>
        <w:i w:val="0"/>
        <w:sz w:val="24"/>
      </w:rPr>
    </w:lvl>
    <w:lvl w:ilvl="2">
      <w:start w:val="1"/>
      <w:numFmt w:val="decimal"/>
      <w:lvlText w:val="%3)"/>
      <w:lvlJc w:val="left"/>
      <w:pPr>
        <w:tabs>
          <w:tab w:val="num" w:pos="7656"/>
        </w:tabs>
        <w:ind w:left="7656" w:hanging="567"/>
      </w:pPr>
      <w:rPr>
        <w:rFonts w:ascii="Times New Roman" w:hAnsi="Times New Roman" w:hint="default"/>
        <w:b w:val="0"/>
        <w:i w:val="0"/>
        <w:strike w:val="0"/>
        <w:sz w:val="24"/>
      </w:rPr>
    </w:lvl>
    <w:lvl w:ilvl="3">
      <w:start w:val="1"/>
      <w:numFmt w:val="lowerLetter"/>
      <w:lvlText w:val="%4)"/>
      <w:lvlJc w:val="left"/>
      <w:pPr>
        <w:tabs>
          <w:tab w:val="num" w:pos="8280"/>
        </w:tabs>
        <w:ind w:left="8280" w:hanging="567"/>
      </w:pPr>
      <w:rPr>
        <w:rFonts w:ascii="Times New Roman" w:hAnsi="Times New Roman" w:hint="default"/>
        <w:b w:val="0"/>
        <w:i w:val="0"/>
        <w:sz w:val="24"/>
      </w:rPr>
    </w:lvl>
    <w:lvl w:ilvl="4">
      <w:start w:val="1"/>
      <w:numFmt w:val="bullet"/>
      <w:lvlText w:val=""/>
      <w:lvlJc w:val="left"/>
      <w:pPr>
        <w:tabs>
          <w:tab w:val="num" w:pos="8322"/>
        </w:tabs>
        <w:ind w:left="8322" w:hanging="360"/>
      </w:pPr>
      <w:rPr>
        <w:rFonts w:ascii="Wingdings" w:hAnsi="Wingdings" w:hint="default"/>
        <w:sz w:val="20"/>
      </w:rPr>
    </w:lvl>
    <w:lvl w:ilvl="5">
      <w:start w:val="1"/>
      <w:numFmt w:val="bullet"/>
      <w:lvlText w:val=""/>
      <w:lvlJc w:val="left"/>
      <w:pPr>
        <w:tabs>
          <w:tab w:val="num" w:pos="8682"/>
        </w:tabs>
        <w:ind w:left="8682" w:hanging="360"/>
      </w:pPr>
      <w:rPr>
        <w:rFonts w:ascii="Symbol" w:hAnsi="Symbol" w:hint="default"/>
        <w:sz w:val="12"/>
      </w:rPr>
    </w:lvl>
    <w:lvl w:ilvl="6">
      <w:start w:val="1"/>
      <w:numFmt w:val="decimal"/>
      <w:lvlText w:val="%7."/>
      <w:lvlJc w:val="left"/>
      <w:pPr>
        <w:tabs>
          <w:tab w:val="num" w:pos="9042"/>
        </w:tabs>
        <w:ind w:left="9042" w:hanging="360"/>
      </w:pPr>
      <w:rPr>
        <w:rFonts w:hint="default"/>
      </w:rPr>
    </w:lvl>
    <w:lvl w:ilvl="7">
      <w:start w:val="1"/>
      <w:numFmt w:val="lowerLetter"/>
      <w:lvlText w:val="%8."/>
      <w:lvlJc w:val="left"/>
      <w:pPr>
        <w:tabs>
          <w:tab w:val="num" w:pos="9402"/>
        </w:tabs>
        <w:ind w:left="9402" w:hanging="360"/>
      </w:pPr>
      <w:rPr>
        <w:rFonts w:hint="default"/>
      </w:rPr>
    </w:lvl>
    <w:lvl w:ilvl="8">
      <w:start w:val="1"/>
      <w:numFmt w:val="lowerRoman"/>
      <w:lvlText w:val="%9."/>
      <w:lvlJc w:val="left"/>
      <w:pPr>
        <w:tabs>
          <w:tab w:val="num" w:pos="9762"/>
        </w:tabs>
        <w:ind w:left="9762" w:hanging="360"/>
      </w:pPr>
      <w:rPr>
        <w:rFonts w:hint="default"/>
      </w:rPr>
    </w:lvl>
  </w:abstractNum>
  <w:abstractNum w:abstractNumId="2" w15:restartNumberingAfterBreak="0">
    <w:nsid w:val="024B1E11"/>
    <w:multiLevelType w:val="hybridMultilevel"/>
    <w:tmpl w:val="723A9190"/>
    <w:lvl w:ilvl="0" w:tplc="EDA2043A">
      <w:start w:val="1"/>
      <w:numFmt w:val="decimal"/>
      <w:lvlText w:val="%1."/>
      <w:lvlJc w:val="left"/>
      <w:pPr>
        <w:ind w:left="360" w:hanging="360"/>
      </w:pPr>
      <w:rPr>
        <w:rFonts w:hint="default"/>
        <w:sz w:val="24"/>
      </w:r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4D7601"/>
    <w:multiLevelType w:val="hybridMultilevel"/>
    <w:tmpl w:val="AE22EA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30C1705"/>
    <w:multiLevelType w:val="hybridMultilevel"/>
    <w:tmpl w:val="8EF8637E"/>
    <w:lvl w:ilvl="0" w:tplc="174AEBA2">
      <w:start w:val="1"/>
      <w:numFmt w:val="decimal"/>
      <w:lvlText w:val="%1."/>
      <w:lvlJc w:val="left"/>
      <w:pPr>
        <w:tabs>
          <w:tab w:val="num" w:pos="360"/>
        </w:tabs>
        <w:ind w:left="360" w:hanging="360"/>
      </w:pPr>
      <w:rPr>
        <w:rFonts w:ascii="Times New Roman" w:hAnsi="Times New Roman" w:hint="default"/>
        <w:b w:val="0"/>
        <w:i w:val="0"/>
        <w:sz w:val="24"/>
      </w:rPr>
    </w:lvl>
    <w:lvl w:ilvl="1" w:tplc="338C01B0">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729B2"/>
    <w:multiLevelType w:val="hybridMultilevel"/>
    <w:tmpl w:val="532E99C4"/>
    <w:lvl w:ilvl="0" w:tplc="04150017">
      <w:start w:val="1"/>
      <w:numFmt w:val="lowerLetter"/>
      <w:lvlText w:val="%1)"/>
      <w:lvlJc w:val="left"/>
      <w:pPr>
        <w:tabs>
          <w:tab w:val="num" w:pos="720"/>
        </w:tabs>
        <w:ind w:left="720" w:hanging="360"/>
      </w:pPr>
    </w:lvl>
    <w:lvl w:ilvl="1" w:tplc="A51210F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65347F"/>
    <w:multiLevelType w:val="hybridMultilevel"/>
    <w:tmpl w:val="4942F26C"/>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301F6D"/>
    <w:multiLevelType w:val="hybridMultilevel"/>
    <w:tmpl w:val="BFB2BB2E"/>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F56AE4"/>
    <w:multiLevelType w:val="hybridMultilevel"/>
    <w:tmpl w:val="FE48D818"/>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1E5A89"/>
    <w:multiLevelType w:val="hybridMultilevel"/>
    <w:tmpl w:val="FFAE7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C28B2"/>
    <w:multiLevelType w:val="singleLevel"/>
    <w:tmpl w:val="64629E18"/>
    <w:lvl w:ilvl="0">
      <w:start w:val="1"/>
      <w:numFmt w:val="lowerLetter"/>
      <w:lvlText w:val="%1)"/>
      <w:lvlJc w:val="left"/>
      <w:pPr>
        <w:tabs>
          <w:tab w:val="num" w:pos="720"/>
        </w:tabs>
        <w:ind w:left="720" w:hanging="360"/>
      </w:pPr>
      <w:rPr>
        <w:rFonts w:hint="default"/>
      </w:rPr>
    </w:lvl>
  </w:abstractNum>
  <w:abstractNum w:abstractNumId="11" w15:restartNumberingAfterBreak="0">
    <w:nsid w:val="112B63A2"/>
    <w:multiLevelType w:val="hybridMultilevel"/>
    <w:tmpl w:val="304C1CF0"/>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381400"/>
    <w:multiLevelType w:val="hybridMultilevel"/>
    <w:tmpl w:val="EB280688"/>
    <w:lvl w:ilvl="0" w:tplc="D892000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1C177C"/>
    <w:multiLevelType w:val="hybridMultilevel"/>
    <w:tmpl w:val="3CF01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382898"/>
    <w:multiLevelType w:val="hybridMultilevel"/>
    <w:tmpl w:val="17F0CA10"/>
    <w:name w:val="WW8Num453"/>
    <w:lvl w:ilvl="0" w:tplc="45623B60">
      <w:start w:val="1"/>
      <w:numFmt w:val="decimal"/>
      <w:lvlText w:val="%1)"/>
      <w:lvlJc w:val="left"/>
      <w:pPr>
        <w:tabs>
          <w:tab w:val="num" w:pos="4218"/>
        </w:tabs>
        <w:ind w:left="4218"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F7686E"/>
    <w:multiLevelType w:val="hybridMultilevel"/>
    <w:tmpl w:val="3B28EDB4"/>
    <w:lvl w:ilvl="0" w:tplc="D76A7CA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76A7BF5"/>
    <w:multiLevelType w:val="hybridMultilevel"/>
    <w:tmpl w:val="8828D662"/>
    <w:lvl w:ilvl="0" w:tplc="BD62D1D6">
      <w:start w:val="1"/>
      <w:numFmt w:val="bullet"/>
      <w:lvlText w:val="-"/>
      <w:lvlJc w:val="left"/>
      <w:pPr>
        <w:ind w:left="1440" w:hanging="360"/>
      </w:pPr>
      <w:rPr>
        <w:rFonts w:ascii="Symbol" w:hAnsi="Symbol"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83313F5"/>
    <w:multiLevelType w:val="multilevel"/>
    <w:tmpl w:val="9E70C14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lowerLetter"/>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8" w15:restartNumberingAfterBreak="0">
    <w:nsid w:val="19DF3675"/>
    <w:multiLevelType w:val="hybridMultilevel"/>
    <w:tmpl w:val="EC028976"/>
    <w:lvl w:ilvl="0" w:tplc="0666DF30">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98563A"/>
    <w:multiLevelType w:val="hybridMultilevel"/>
    <w:tmpl w:val="5E067462"/>
    <w:lvl w:ilvl="0" w:tplc="0008AD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C83145A"/>
    <w:multiLevelType w:val="hybridMultilevel"/>
    <w:tmpl w:val="0B90ECA0"/>
    <w:lvl w:ilvl="0" w:tplc="E24E8A4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C0260C"/>
    <w:multiLevelType w:val="hybridMultilevel"/>
    <w:tmpl w:val="8E2007CC"/>
    <w:lvl w:ilvl="0" w:tplc="5F720A1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B54A4F"/>
    <w:multiLevelType w:val="hybridMultilevel"/>
    <w:tmpl w:val="CA247E52"/>
    <w:lvl w:ilvl="0" w:tplc="C73AAB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937612B"/>
    <w:multiLevelType w:val="hybridMultilevel"/>
    <w:tmpl w:val="4022CBC6"/>
    <w:lvl w:ilvl="0" w:tplc="7A268BB0">
      <w:start w:val="1"/>
      <w:numFmt w:val="upperRoman"/>
      <w:lvlText w:val="%1."/>
      <w:lvlJc w:val="left"/>
      <w:pPr>
        <w:ind w:left="36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B46B0A"/>
    <w:multiLevelType w:val="hybridMultilevel"/>
    <w:tmpl w:val="3B8E2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C45444"/>
    <w:multiLevelType w:val="multilevel"/>
    <w:tmpl w:val="001C6ED4"/>
    <w:lvl w:ilvl="0">
      <w:start w:val="1"/>
      <w:numFmt w:val="decimal"/>
      <w:suff w:val="nothing"/>
      <w:lvlText w:val="§ %1"/>
      <w:lvlJc w:val="center"/>
      <w:pPr>
        <w:ind w:left="0" w:firstLine="0"/>
      </w:pPr>
      <w:rPr>
        <w:rFonts w:ascii="Times New Roman" w:hAnsi="Times New Roman" w:hint="default"/>
        <w:b w:val="0"/>
        <w:i w:val="0"/>
        <w:sz w:val="24"/>
      </w:rPr>
    </w:lvl>
    <w:lvl w:ilvl="1">
      <w:start w:val="1"/>
      <w:numFmt w:val="decimal"/>
      <w:lvlText w:val="%2.)"/>
      <w:lvlJc w:val="left"/>
      <w:pPr>
        <w:tabs>
          <w:tab w:val="num" w:pos="4452"/>
        </w:tabs>
        <w:ind w:left="4452" w:hanging="340"/>
      </w:pPr>
      <w:rPr>
        <w:rFonts w:ascii="Times New Roman" w:hAnsi="Times New Roman" w:hint="default"/>
        <w:b w:val="0"/>
        <w:i w:val="0"/>
        <w:sz w:val="24"/>
      </w:rPr>
    </w:lvl>
    <w:lvl w:ilvl="2">
      <w:start w:val="1"/>
      <w:numFmt w:val="decimal"/>
      <w:lvlText w:val="%3)"/>
      <w:lvlJc w:val="left"/>
      <w:pPr>
        <w:tabs>
          <w:tab w:val="num" w:pos="5246"/>
        </w:tabs>
        <w:ind w:left="5246" w:hanging="567"/>
      </w:pPr>
      <w:rPr>
        <w:rFonts w:ascii="Times New Roman" w:hAnsi="Times New Roman" w:hint="default"/>
        <w:b w:val="0"/>
        <w:i w:val="0"/>
        <w:strike w:val="0"/>
        <w:sz w:val="24"/>
      </w:rPr>
    </w:lvl>
    <w:lvl w:ilvl="3">
      <w:start w:val="1"/>
      <w:numFmt w:val="lowerLetter"/>
      <w:lvlText w:val="%4)"/>
      <w:lvlJc w:val="left"/>
      <w:pPr>
        <w:tabs>
          <w:tab w:val="num" w:pos="5870"/>
        </w:tabs>
        <w:ind w:left="5870" w:hanging="567"/>
      </w:pPr>
      <w:rPr>
        <w:rFonts w:ascii="Times New Roman" w:hAnsi="Times New Roman" w:hint="default"/>
        <w:b w:val="0"/>
        <w:i w:val="0"/>
        <w:sz w:val="24"/>
      </w:rPr>
    </w:lvl>
    <w:lvl w:ilvl="4">
      <w:start w:val="1"/>
      <w:numFmt w:val="bullet"/>
      <w:lvlText w:val=""/>
      <w:lvlJc w:val="left"/>
      <w:pPr>
        <w:tabs>
          <w:tab w:val="num" w:pos="5912"/>
        </w:tabs>
        <w:ind w:left="5912" w:hanging="360"/>
      </w:pPr>
      <w:rPr>
        <w:rFonts w:ascii="Wingdings" w:hAnsi="Wingdings" w:hint="default"/>
        <w:sz w:val="20"/>
      </w:rPr>
    </w:lvl>
    <w:lvl w:ilvl="5">
      <w:start w:val="1"/>
      <w:numFmt w:val="bullet"/>
      <w:lvlText w:val=""/>
      <w:lvlJc w:val="left"/>
      <w:pPr>
        <w:tabs>
          <w:tab w:val="num" w:pos="6272"/>
        </w:tabs>
        <w:ind w:left="6272" w:hanging="360"/>
      </w:pPr>
      <w:rPr>
        <w:rFonts w:ascii="Symbol" w:hAnsi="Symbol" w:hint="default"/>
        <w:sz w:val="12"/>
      </w:rPr>
    </w:lvl>
    <w:lvl w:ilvl="6">
      <w:start w:val="1"/>
      <w:numFmt w:val="decimal"/>
      <w:lvlText w:val="%7."/>
      <w:lvlJc w:val="left"/>
      <w:pPr>
        <w:tabs>
          <w:tab w:val="num" w:pos="6632"/>
        </w:tabs>
        <w:ind w:left="6632" w:hanging="360"/>
      </w:pPr>
      <w:rPr>
        <w:rFonts w:hint="default"/>
      </w:rPr>
    </w:lvl>
    <w:lvl w:ilvl="7">
      <w:start w:val="1"/>
      <w:numFmt w:val="lowerLetter"/>
      <w:lvlText w:val="%8."/>
      <w:lvlJc w:val="left"/>
      <w:pPr>
        <w:tabs>
          <w:tab w:val="num" w:pos="6992"/>
        </w:tabs>
        <w:ind w:left="6992" w:hanging="360"/>
      </w:pPr>
      <w:rPr>
        <w:rFonts w:hint="default"/>
      </w:rPr>
    </w:lvl>
    <w:lvl w:ilvl="8">
      <w:start w:val="1"/>
      <w:numFmt w:val="lowerRoman"/>
      <w:lvlText w:val="%9."/>
      <w:lvlJc w:val="left"/>
      <w:pPr>
        <w:tabs>
          <w:tab w:val="num" w:pos="7352"/>
        </w:tabs>
        <w:ind w:left="7352" w:hanging="360"/>
      </w:pPr>
      <w:rPr>
        <w:rFonts w:hint="default"/>
      </w:rPr>
    </w:lvl>
  </w:abstractNum>
  <w:abstractNum w:abstractNumId="26" w15:restartNumberingAfterBreak="0">
    <w:nsid w:val="2EC62D85"/>
    <w:multiLevelType w:val="hybridMultilevel"/>
    <w:tmpl w:val="3B5C8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082AE0"/>
    <w:multiLevelType w:val="hybridMultilevel"/>
    <w:tmpl w:val="74102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F24CF1"/>
    <w:multiLevelType w:val="hybridMultilevel"/>
    <w:tmpl w:val="FEACCF8E"/>
    <w:lvl w:ilvl="0" w:tplc="1EE0E7B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359C69DF"/>
    <w:multiLevelType w:val="multilevel"/>
    <w:tmpl w:val="7EA633A4"/>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lowerLetter"/>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0" w15:restartNumberingAfterBreak="0">
    <w:nsid w:val="35D90653"/>
    <w:multiLevelType w:val="hybridMultilevel"/>
    <w:tmpl w:val="4D6A63BE"/>
    <w:lvl w:ilvl="0" w:tplc="4D447B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596745"/>
    <w:multiLevelType w:val="multilevel"/>
    <w:tmpl w:val="3F16AA4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DCB683E"/>
    <w:multiLevelType w:val="hybridMultilevel"/>
    <w:tmpl w:val="AD1A3896"/>
    <w:lvl w:ilvl="0" w:tplc="2708B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DE116F2"/>
    <w:multiLevelType w:val="hybridMultilevel"/>
    <w:tmpl w:val="D6D8C32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B01606"/>
    <w:multiLevelType w:val="hybridMultilevel"/>
    <w:tmpl w:val="18C0D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A1A09"/>
    <w:multiLevelType w:val="multilevel"/>
    <w:tmpl w:val="FFE243A6"/>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5139B1"/>
    <w:multiLevelType w:val="hybridMultilevel"/>
    <w:tmpl w:val="18107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3722998"/>
    <w:multiLevelType w:val="hybridMultilevel"/>
    <w:tmpl w:val="E2543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D0684"/>
    <w:multiLevelType w:val="hybridMultilevel"/>
    <w:tmpl w:val="4928DF06"/>
    <w:lvl w:ilvl="0" w:tplc="4C0CEE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965A13"/>
    <w:multiLevelType w:val="hybridMultilevel"/>
    <w:tmpl w:val="31EC71E6"/>
    <w:lvl w:ilvl="0" w:tplc="01963B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F17959"/>
    <w:multiLevelType w:val="hybridMultilevel"/>
    <w:tmpl w:val="4B323C96"/>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5D08F5"/>
    <w:multiLevelType w:val="hybridMultilevel"/>
    <w:tmpl w:val="B9244BD8"/>
    <w:lvl w:ilvl="0" w:tplc="0415000F">
      <w:start w:val="1"/>
      <w:numFmt w:val="decimal"/>
      <w:lvlText w:val="%1."/>
      <w:lvlJc w:val="left"/>
      <w:pPr>
        <w:tabs>
          <w:tab w:val="num" w:pos="390"/>
        </w:tabs>
        <w:ind w:left="390" w:hanging="3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0C83FB7"/>
    <w:multiLevelType w:val="multilevel"/>
    <w:tmpl w:val="B9DE0B14"/>
    <w:lvl w:ilvl="0">
      <w:start w:val="1"/>
      <w:numFmt w:val="decimal"/>
      <w:lvlText w:val="%1."/>
      <w:lvlJc w:val="left"/>
      <w:pPr>
        <w:tabs>
          <w:tab w:val="num" w:pos="720"/>
        </w:tabs>
      </w:pPr>
    </w:lvl>
    <w:lvl w:ilvl="1">
      <w:start w:val="1"/>
      <w:numFmt w:val="decimal"/>
      <w:lvlText w:val="%2)"/>
      <w:lvlJc w:val="left"/>
      <w:pPr>
        <w:tabs>
          <w:tab w:val="num" w:pos="360"/>
        </w:tabs>
        <w:ind w:left="360" w:hanging="360"/>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533C77BB"/>
    <w:multiLevelType w:val="hybridMultilevel"/>
    <w:tmpl w:val="312A9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05299"/>
    <w:multiLevelType w:val="hybridMultilevel"/>
    <w:tmpl w:val="1C960848"/>
    <w:lvl w:ilvl="0" w:tplc="5C6AC2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4243243"/>
    <w:multiLevelType w:val="singleLevel"/>
    <w:tmpl w:val="D988CF32"/>
    <w:lvl w:ilvl="0">
      <w:start w:val="1"/>
      <w:numFmt w:val="decimal"/>
      <w:lvlText w:val="%1)"/>
      <w:lvlJc w:val="left"/>
      <w:pPr>
        <w:tabs>
          <w:tab w:val="num" w:pos="1065"/>
        </w:tabs>
        <w:ind w:left="1065" w:hanging="360"/>
      </w:pPr>
      <w:rPr>
        <w:rFonts w:hint="default"/>
      </w:rPr>
    </w:lvl>
  </w:abstractNum>
  <w:abstractNum w:abstractNumId="46" w15:restartNumberingAfterBreak="0">
    <w:nsid w:val="569E2B45"/>
    <w:multiLevelType w:val="hybridMultilevel"/>
    <w:tmpl w:val="11B6ECEA"/>
    <w:lvl w:ilvl="0" w:tplc="191A5728">
      <w:start w:val="1"/>
      <w:numFmt w:val="decimal"/>
      <w:lvlText w:val="%1)"/>
      <w:lvlJc w:val="left"/>
      <w:pPr>
        <w:ind w:left="36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D9089A"/>
    <w:multiLevelType w:val="hybridMultilevel"/>
    <w:tmpl w:val="3A52D326"/>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9116B2"/>
    <w:multiLevelType w:val="hybridMultilevel"/>
    <w:tmpl w:val="D08C34B0"/>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4D38B0"/>
    <w:multiLevelType w:val="hybridMultilevel"/>
    <w:tmpl w:val="FEA6C5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8917566"/>
    <w:multiLevelType w:val="hybridMultilevel"/>
    <w:tmpl w:val="4B7A13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A8F6F15"/>
    <w:multiLevelType w:val="multilevel"/>
    <w:tmpl w:val="9A788A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5B953F61"/>
    <w:multiLevelType w:val="hybridMultilevel"/>
    <w:tmpl w:val="3D10100A"/>
    <w:lvl w:ilvl="0" w:tplc="205A97B6">
      <w:start w:val="1"/>
      <w:numFmt w:val="lowerLetter"/>
      <w:lvlText w:val="%1)"/>
      <w:lvlJc w:val="left"/>
      <w:pPr>
        <w:ind w:left="1080" w:hanging="360"/>
      </w:pPr>
      <w:rPr>
        <w:rFonts w:ascii="Times New Roman" w:hAnsi="Times New Roman"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2723DC"/>
    <w:multiLevelType w:val="hybridMultilevel"/>
    <w:tmpl w:val="DDDCF69C"/>
    <w:lvl w:ilvl="0" w:tplc="0415000F">
      <w:start w:val="1"/>
      <w:numFmt w:val="decimal"/>
      <w:lvlText w:val="%1."/>
      <w:lvlJc w:val="left"/>
      <w:pPr>
        <w:tabs>
          <w:tab w:val="num" w:pos="1098"/>
        </w:tabs>
        <w:ind w:left="1098" w:hanging="3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36E487C"/>
    <w:multiLevelType w:val="hybridMultilevel"/>
    <w:tmpl w:val="11069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DE0193"/>
    <w:multiLevelType w:val="multilevel"/>
    <w:tmpl w:val="29981EC4"/>
    <w:name w:val="WW8Num1222222222244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70C7521"/>
    <w:multiLevelType w:val="hybridMultilevel"/>
    <w:tmpl w:val="9E7430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69937E36"/>
    <w:multiLevelType w:val="hybridMultilevel"/>
    <w:tmpl w:val="405C590E"/>
    <w:name w:val="WW8Num4532"/>
    <w:lvl w:ilvl="0" w:tplc="9D02E43E">
      <w:start w:val="1"/>
      <w:numFmt w:val="decimal"/>
      <w:lvlText w:val="%1)"/>
      <w:lvlJc w:val="left"/>
      <w:pPr>
        <w:tabs>
          <w:tab w:val="num" w:pos="4218"/>
        </w:tabs>
        <w:ind w:left="4218"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1A5388"/>
    <w:multiLevelType w:val="hybridMultilevel"/>
    <w:tmpl w:val="BD7017C6"/>
    <w:lvl w:ilvl="0" w:tplc="EA0EB8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EA75E4"/>
    <w:multiLevelType w:val="hybridMultilevel"/>
    <w:tmpl w:val="D91C8A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60" w15:restartNumberingAfterBreak="0">
    <w:nsid w:val="6EA05248"/>
    <w:multiLevelType w:val="hybridMultilevel"/>
    <w:tmpl w:val="35C63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75A2A"/>
    <w:multiLevelType w:val="hybridMultilevel"/>
    <w:tmpl w:val="A74C7F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0EB484B"/>
    <w:multiLevelType w:val="hybridMultilevel"/>
    <w:tmpl w:val="A4EA2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3BF3683"/>
    <w:multiLevelType w:val="singleLevel"/>
    <w:tmpl w:val="64629E18"/>
    <w:lvl w:ilvl="0">
      <w:start w:val="1"/>
      <w:numFmt w:val="lowerLetter"/>
      <w:lvlText w:val="%1)"/>
      <w:lvlJc w:val="left"/>
      <w:pPr>
        <w:tabs>
          <w:tab w:val="num" w:pos="720"/>
        </w:tabs>
        <w:ind w:left="720" w:hanging="360"/>
      </w:pPr>
      <w:rPr>
        <w:rFonts w:hint="default"/>
      </w:rPr>
    </w:lvl>
  </w:abstractNum>
  <w:abstractNum w:abstractNumId="64" w15:restartNumberingAfterBreak="0">
    <w:nsid w:val="74202EE3"/>
    <w:multiLevelType w:val="hybridMultilevel"/>
    <w:tmpl w:val="FA926D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5494088"/>
    <w:multiLevelType w:val="hybridMultilevel"/>
    <w:tmpl w:val="ABF8D762"/>
    <w:lvl w:ilvl="0" w:tplc="30601EC6">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F5845"/>
    <w:multiLevelType w:val="hybridMultilevel"/>
    <w:tmpl w:val="4D24DCE0"/>
    <w:lvl w:ilvl="0" w:tplc="0415000F">
      <w:start w:val="1"/>
      <w:numFmt w:val="decimal"/>
      <w:lvlText w:val="%1."/>
      <w:lvlJc w:val="left"/>
      <w:pPr>
        <w:tabs>
          <w:tab w:val="num" w:pos="1099"/>
        </w:tabs>
        <w:ind w:left="1099" w:hanging="3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7" w15:restartNumberingAfterBreak="0">
    <w:nsid w:val="76FF71BB"/>
    <w:multiLevelType w:val="hybridMultilevel"/>
    <w:tmpl w:val="B32661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79CD0881"/>
    <w:multiLevelType w:val="hybridMultilevel"/>
    <w:tmpl w:val="EDA8D3F6"/>
    <w:lvl w:ilvl="0" w:tplc="7674BA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D549ED"/>
    <w:multiLevelType w:val="multilevel"/>
    <w:tmpl w:val="ACDADC38"/>
    <w:lvl w:ilvl="0">
      <w:start w:val="1"/>
      <w:numFmt w:val="decimal"/>
      <w:suff w:val="nothing"/>
      <w:lvlText w:val="§ %1"/>
      <w:lvlJc w:val="center"/>
      <w:pPr>
        <w:ind w:left="0" w:firstLine="0"/>
      </w:pPr>
      <w:rPr>
        <w:rFonts w:ascii="Times New Roman" w:hAnsi="Times New Roman" w:hint="default"/>
        <w:b w:val="0"/>
        <w:i w:val="0"/>
        <w:sz w:val="24"/>
      </w:rPr>
    </w:lvl>
    <w:lvl w:ilvl="1">
      <w:start w:val="1"/>
      <w:numFmt w:val="decimal"/>
      <w:lvlText w:val="%2.)"/>
      <w:lvlJc w:val="left"/>
      <w:pPr>
        <w:tabs>
          <w:tab w:val="num" w:pos="4452"/>
        </w:tabs>
        <w:ind w:left="4452" w:hanging="340"/>
      </w:pPr>
      <w:rPr>
        <w:rFonts w:ascii="Times New Roman" w:hAnsi="Times New Roman" w:hint="default"/>
        <w:b w:val="0"/>
        <w:i w:val="0"/>
        <w:sz w:val="24"/>
      </w:rPr>
    </w:lvl>
    <w:lvl w:ilvl="2">
      <w:start w:val="1"/>
      <w:numFmt w:val="decimal"/>
      <w:lvlText w:val="%3)"/>
      <w:lvlJc w:val="left"/>
      <w:pPr>
        <w:tabs>
          <w:tab w:val="num" w:pos="5246"/>
        </w:tabs>
        <w:ind w:left="5246" w:hanging="567"/>
      </w:pPr>
      <w:rPr>
        <w:rFonts w:ascii="Times New Roman" w:hAnsi="Times New Roman" w:hint="default"/>
        <w:b w:val="0"/>
        <w:i w:val="0"/>
        <w:strike w:val="0"/>
        <w:sz w:val="24"/>
      </w:rPr>
    </w:lvl>
    <w:lvl w:ilvl="3">
      <w:start w:val="1"/>
      <w:numFmt w:val="lowerLetter"/>
      <w:lvlText w:val="%4)"/>
      <w:lvlJc w:val="left"/>
      <w:pPr>
        <w:tabs>
          <w:tab w:val="num" w:pos="5870"/>
        </w:tabs>
        <w:ind w:left="5870" w:hanging="567"/>
      </w:pPr>
      <w:rPr>
        <w:rFonts w:ascii="Times New Roman" w:hAnsi="Times New Roman" w:hint="default"/>
        <w:b w:val="0"/>
        <w:i w:val="0"/>
        <w:sz w:val="24"/>
      </w:rPr>
    </w:lvl>
    <w:lvl w:ilvl="4">
      <w:start w:val="1"/>
      <w:numFmt w:val="bullet"/>
      <w:lvlText w:val=""/>
      <w:lvlJc w:val="left"/>
      <w:pPr>
        <w:tabs>
          <w:tab w:val="num" w:pos="5912"/>
        </w:tabs>
        <w:ind w:left="5912" w:hanging="360"/>
      </w:pPr>
      <w:rPr>
        <w:rFonts w:ascii="Wingdings" w:hAnsi="Wingdings" w:hint="default"/>
        <w:sz w:val="20"/>
      </w:rPr>
    </w:lvl>
    <w:lvl w:ilvl="5">
      <w:start w:val="1"/>
      <w:numFmt w:val="bullet"/>
      <w:lvlText w:val=""/>
      <w:lvlJc w:val="left"/>
      <w:pPr>
        <w:tabs>
          <w:tab w:val="num" w:pos="6272"/>
        </w:tabs>
        <w:ind w:left="6272" w:hanging="360"/>
      </w:pPr>
      <w:rPr>
        <w:rFonts w:ascii="Symbol" w:hAnsi="Symbol" w:hint="default"/>
        <w:sz w:val="12"/>
      </w:rPr>
    </w:lvl>
    <w:lvl w:ilvl="6">
      <w:start w:val="1"/>
      <w:numFmt w:val="decimal"/>
      <w:lvlText w:val="%7."/>
      <w:lvlJc w:val="left"/>
      <w:pPr>
        <w:tabs>
          <w:tab w:val="num" w:pos="6632"/>
        </w:tabs>
        <w:ind w:left="6632" w:hanging="360"/>
      </w:pPr>
      <w:rPr>
        <w:rFonts w:hint="default"/>
        <w:color w:val="auto"/>
      </w:rPr>
    </w:lvl>
    <w:lvl w:ilvl="7">
      <w:start w:val="1"/>
      <w:numFmt w:val="lowerLetter"/>
      <w:lvlText w:val="%8."/>
      <w:lvlJc w:val="left"/>
      <w:pPr>
        <w:tabs>
          <w:tab w:val="num" w:pos="6992"/>
        </w:tabs>
        <w:ind w:left="6992" w:hanging="360"/>
      </w:pPr>
      <w:rPr>
        <w:rFonts w:hint="default"/>
      </w:rPr>
    </w:lvl>
    <w:lvl w:ilvl="8">
      <w:start w:val="1"/>
      <w:numFmt w:val="lowerRoman"/>
      <w:lvlText w:val="%9."/>
      <w:lvlJc w:val="left"/>
      <w:pPr>
        <w:tabs>
          <w:tab w:val="num" w:pos="7352"/>
        </w:tabs>
        <w:ind w:left="7352" w:hanging="360"/>
      </w:pPr>
      <w:rPr>
        <w:rFonts w:hint="default"/>
      </w:rPr>
    </w:lvl>
  </w:abstractNum>
  <w:abstractNum w:abstractNumId="70" w15:restartNumberingAfterBreak="0">
    <w:nsid w:val="7D0A315B"/>
    <w:multiLevelType w:val="hybridMultilevel"/>
    <w:tmpl w:val="38C8D358"/>
    <w:lvl w:ilvl="0" w:tplc="812884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4"/>
  </w:num>
  <w:num w:numId="3">
    <w:abstractNumId w:val="23"/>
  </w:num>
  <w:num w:numId="4">
    <w:abstractNumId w:val="1"/>
  </w:num>
  <w:num w:numId="5">
    <w:abstractNumId w:val="6"/>
  </w:num>
  <w:num w:numId="6">
    <w:abstractNumId w:val="8"/>
  </w:num>
  <w:num w:numId="7">
    <w:abstractNumId w:val="21"/>
  </w:num>
  <w:num w:numId="8">
    <w:abstractNumId w:val="25"/>
  </w:num>
  <w:num w:numId="9">
    <w:abstractNumId w:val="49"/>
  </w:num>
  <w:num w:numId="10">
    <w:abstractNumId w:val="11"/>
  </w:num>
  <w:num w:numId="11">
    <w:abstractNumId w:val="69"/>
  </w:num>
  <w:num w:numId="12">
    <w:abstractNumId w:val="58"/>
  </w:num>
  <w:num w:numId="13">
    <w:abstractNumId w:val="65"/>
  </w:num>
  <w:num w:numId="14">
    <w:abstractNumId w:val="48"/>
  </w:num>
  <w:num w:numId="15">
    <w:abstractNumId w:val="47"/>
  </w:num>
  <w:num w:numId="16">
    <w:abstractNumId w:val="16"/>
  </w:num>
  <w:num w:numId="17">
    <w:abstractNumId w:val="35"/>
  </w:num>
  <w:num w:numId="18">
    <w:abstractNumId w:val="38"/>
  </w:num>
  <w:num w:numId="19">
    <w:abstractNumId w:val="68"/>
  </w:num>
  <w:num w:numId="20">
    <w:abstractNumId w:val="46"/>
  </w:num>
  <w:num w:numId="21">
    <w:abstractNumId w:val="13"/>
  </w:num>
  <w:num w:numId="22">
    <w:abstractNumId w:val="32"/>
  </w:num>
  <w:num w:numId="23">
    <w:abstractNumId w:val="52"/>
  </w:num>
  <w:num w:numId="24">
    <w:abstractNumId w:val="15"/>
  </w:num>
  <w:num w:numId="25">
    <w:abstractNumId w:val="20"/>
  </w:num>
  <w:num w:numId="26">
    <w:abstractNumId w:val="18"/>
  </w:num>
  <w:num w:numId="27">
    <w:abstractNumId w:val="70"/>
  </w:num>
  <w:num w:numId="28">
    <w:abstractNumId w:val="26"/>
  </w:num>
  <w:num w:numId="29">
    <w:abstractNumId w:val="62"/>
  </w:num>
  <w:num w:numId="30">
    <w:abstractNumId w:val="37"/>
  </w:num>
  <w:num w:numId="31">
    <w:abstractNumId w:val="54"/>
  </w:num>
  <w:num w:numId="32">
    <w:abstractNumId w:val="5"/>
  </w:num>
  <w:num w:numId="33">
    <w:abstractNumId w:val="30"/>
  </w:num>
  <w:num w:numId="34">
    <w:abstractNumId w:val="27"/>
  </w:num>
  <w:num w:numId="35">
    <w:abstractNumId w:val="44"/>
  </w:num>
  <w:num w:numId="36">
    <w:abstractNumId w:val="22"/>
  </w:num>
  <w:num w:numId="37">
    <w:abstractNumId w:val="29"/>
  </w:num>
  <w:num w:numId="38">
    <w:abstractNumId w:val="19"/>
  </w:num>
  <w:num w:numId="39">
    <w:abstractNumId w:val="42"/>
  </w:num>
  <w:num w:numId="40">
    <w:abstractNumId w:val="17"/>
  </w:num>
  <w:num w:numId="41">
    <w:abstractNumId w:val="45"/>
  </w:num>
  <w:num w:numId="42">
    <w:abstractNumId w:val="51"/>
  </w:num>
  <w:num w:numId="43">
    <w:abstractNumId w:val="10"/>
  </w:num>
  <w:num w:numId="44">
    <w:abstractNumId w:val="63"/>
  </w:num>
  <w:num w:numId="45">
    <w:abstractNumId w:val="28"/>
  </w:num>
  <w:num w:numId="46">
    <w:abstractNumId w:val="60"/>
  </w:num>
  <w:num w:numId="47">
    <w:abstractNumId w:val="36"/>
  </w:num>
  <w:num w:numId="48">
    <w:abstractNumId w:val="2"/>
  </w:num>
  <w:num w:numId="49">
    <w:abstractNumId w:val="4"/>
  </w:num>
  <w:num w:numId="50">
    <w:abstractNumId w:val="59"/>
  </w:num>
  <w:num w:numId="51">
    <w:abstractNumId w:val="41"/>
  </w:num>
  <w:num w:numId="52">
    <w:abstractNumId w:val="66"/>
  </w:num>
  <w:num w:numId="53">
    <w:abstractNumId w:val="7"/>
  </w:num>
  <w:num w:numId="54">
    <w:abstractNumId w:val="43"/>
  </w:num>
  <w:num w:numId="55">
    <w:abstractNumId w:val="53"/>
  </w:num>
  <w:num w:numId="56">
    <w:abstractNumId w:val="40"/>
  </w:num>
  <w:num w:numId="57">
    <w:abstractNumId w:val="33"/>
  </w:num>
  <w:num w:numId="58">
    <w:abstractNumId w:val="31"/>
  </w:num>
  <w:num w:numId="59">
    <w:abstractNumId w:val="34"/>
  </w:num>
  <w:num w:numId="60">
    <w:abstractNumId w:val="12"/>
  </w:num>
  <w:num w:numId="61">
    <w:abstractNumId w:val="9"/>
  </w:num>
  <w:num w:numId="62">
    <w:abstractNumId w:val="24"/>
  </w:num>
  <w:num w:numId="63">
    <w:abstractNumId w:val="67"/>
  </w:num>
  <w:num w:numId="64">
    <w:abstractNumId w:val="61"/>
  </w:num>
  <w:num w:numId="65">
    <w:abstractNumId w:val="3"/>
  </w:num>
  <w:num w:numId="66">
    <w:abstractNumId w:val="50"/>
  </w:num>
  <w:num w:numId="67">
    <w:abstractNumId w:val="56"/>
  </w:num>
  <w:num w:numId="68">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BE"/>
    <w:rsid w:val="0000313B"/>
    <w:rsid w:val="00004950"/>
    <w:rsid w:val="00011D4D"/>
    <w:rsid w:val="00013DFB"/>
    <w:rsid w:val="0001438A"/>
    <w:rsid w:val="000145B6"/>
    <w:rsid w:val="00015A7F"/>
    <w:rsid w:val="0003081D"/>
    <w:rsid w:val="0003509A"/>
    <w:rsid w:val="00040466"/>
    <w:rsid w:val="0004788F"/>
    <w:rsid w:val="0005567A"/>
    <w:rsid w:val="00075FB7"/>
    <w:rsid w:val="00076F91"/>
    <w:rsid w:val="00081811"/>
    <w:rsid w:val="000905E2"/>
    <w:rsid w:val="0009268A"/>
    <w:rsid w:val="00093C38"/>
    <w:rsid w:val="00095BCE"/>
    <w:rsid w:val="000A068A"/>
    <w:rsid w:val="000A1801"/>
    <w:rsid w:val="000A3512"/>
    <w:rsid w:val="000B0B6B"/>
    <w:rsid w:val="000B408B"/>
    <w:rsid w:val="000B47EC"/>
    <w:rsid w:val="000B59C6"/>
    <w:rsid w:val="000B6FCA"/>
    <w:rsid w:val="000C2053"/>
    <w:rsid w:val="000C45A8"/>
    <w:rsid w:val="000C4C34"/>
    <w:rsid w:val="000C62C3"/>
    <w:rsid w:val="000C631E"/>
    <w:rsid w:val="000D008B"/>
    <w:rsid w:val="000D1ADF"/>
    <w:rsid w:val="000D4150"/>
    <w:rsid w:val="000D469F"/>
    <w:rsid w:val="000D62A5"/>
    <w:rsid w:val="000D7030"/>
    <w:rsid w:val="000E3D0F"/>
    <w:rsid w:val="000E458C"/>
    <w:rsid w:val="000E5A72"/>
    <w:rsid w:val="000E63D9"/>
    <w:rsid w:val="000E766A"/>
    <w:rsid w:val="000F33A6"/>
    <w:rsid w:val="000F3724"/>
    <w:rsid w:val="000F4CB2"/>
    <w:rsid w:val="00100017"/>
    <w:rsid w:val="00102EA7"/>
    <w:rsid w:val="00103834"/>
    <w:rsid w:val="00104EAF"/>
    <w:rsid w:val="00110425"/>
    <w:rsid w:val="00110A62"/>
    <w:rsid w:val="00110A9A"/>
    <w:rsid w:val="001113C9"/>
    <w:rsid w:val="001142D0"/>
    <w:rsid w:val="00115AF5"/>
    <w:rsid w:val="001250CD"/>
    <w:rsid w:val="00125799"/>
    <w:rsid w:val="001269ED"/>
    <w:rsid w:val="00126D14"/>
    <w:rsid w:val="0013343F"/>
    <w:rsid w:val="00133BA5"/>
    <w:rsid w:val="00134569"/>
    <w:rsid w:val="00137E9C"/>
    <w:rsid w:val="00140F1D"/>
    <w:rsid w:val="00145BF8"/>
    <w:rsid w:val="001461E9"/>
    <w:rsid w:val="00146705"/>
    <w:rsid w:val="00153379"/>
    <w:rsid w:val="00160077"/>
    <w:rsid w:val="001611A6"/>
    <w:rsid w:val="001611C3"/>
    <w:rsid w:val="00161D3E"/>
    <w:rsid w:val="00163852"/>
    <w:rsid w:val="00165239"/>
    <w:rsid w:val="001709D6"/>
    <w:rsid w:val="00172963"/>
    <w:rsid w:val="00176814"/>
    <w:rsid w:val="00176892"/>
    <w:rsid w:val="001776EA"/>
    <w:rsid w:val="001801DD"/>
    <w:rsid w:val="00180D47"/>
    <w:rsid w:val="0018746F"/>
    <w:rsid w:val="001909BB"/>
    <w:rsid w:val="001929C7"/>
    <w:rsid w:val="001944A7"/>
    <w:rsid w:val="0019510A"/>
    <w:rsid w:val="0019516C"/>
    <w:rsid w:val="001A21C5"/>
    <w:rsid w:val="001A2DD1"/>
    <w:rsid w:val="001A60F9"/>
    <w:rsid w:val="001B0E86"/>
    <w:rsid w:val="001B1071"/>
    <w:rsid w:val="001B3070"/>
    <w:rsid w:val="001B34CF"/>
    <w:rsid w:val="001B5A42"/>
    <w:rsid w:val="001B624C"/>
    <w:rsid w:val="001B7385"/>
    <w:rsid w:val="001C1970"/>
    <w:rsid w:val="001C3558"/>
    <w:rsid w:val="001C5AA8"/>
    <w:rsid w:val="001C63C3"/>
    <w:rsid w:val="001C6F4E"/>
    <w:rsid w:val="001D344C"/>
    <w:rsid w:val="001D6A66"/>
    <w:rsid w:val="001D7041"/>
    <w:rsid w:val="001E46AD"/>
    <w:rsid w:val="001E4B92"/>
    <w:rsid w:val="001F3A49"/>
    <w:rsid w:val="001F56F5"/>
    <w:rsid w:val="001F7316"/>
    <w:rsid w:val="002007C4"/>
    <w:rsid w:val="00205C6E"/>
    <w:rsid w:val="00210393"/>
    <w:rsid w:val="0021219A"/>
    <w:rsid w:val="00212D91"/>
    <w:rsid w:val="00214316"/>
    <w:rsid w:val="00214E5A"/>
    <w:rsid w:val="00221376"/>
    <w:rsid w:val="00221A84"/>
    <w:rsid w:val="0022300F"/>
    <w:rsid w:val="002249C9"/>
    <w:rsid w:val="0022501D"/>
    <w:rsid w:val="0022718A"/>
    <w:rsid w:val="002357A6"/>
    <w:rsid w:val="00236DB6"/>
    <w:rsid w:val="002441F4"/>
    <w:rsid w:val="002447FA"/>
    <w:rsid w:val="00245848"/>
    <w:rsid w:val="00247EED"/>
    <w:rsid w:val="00250CA8"/>
    <w:rsid w:val="00251B18"/>
    <w:rsid w:val="00253322"/>
    <w:rsid w:val="0025718E"/>
    <w:rsid w:val="00260007"/>
    <w:rsid w:val="00263781"/>
    <w:rsid w:val="00267180"/>
    <w:rsid w:val="0027003B"/>
    <w:rsid w:val="002715AA"/>
    <w:rsid w:val="00271FE5"/>
    <w:rsid w:val="00273212"/>
    <w:rsid w:val="00280AE7"/>
    <w:rsid w:val="0028343B"/>
    <w:rsid w:val="00285950"/>
    <w:rsid w:val="002925C7"/>
    <w:rsid w:val="00292978"/>
    <w:rsid w:val="00297BD0"/>
    <w:rsid w:val="002A3ED2"/>
    <w:rsid w:val="002A4D17"/>
    <w:rsid w:val="002B07E8"/>
    <w:rsid w:val="002B3271"/>
    <w:rsid w:val="002B3B96"/>
    <w:rsid w:val="002C49EC"/>
    <w:rsid w:val="002C73EB"/>
    <w:rsid w:val="002C7A7E"/>
    <w:rsid w:val="002D015F"/>
    <w:rsid w:val="002D1072"/>
    <w:rsid w:val="002D6B4B"/>
    <w:rsid w:val="002E0656"/>
    <w:rsid w:val="002E0A67"/>
    <w:rsid w:val="002E0C99"/>
    <w:rsid w:val="002E15E8"/>
    <w:rsid w:val="002E1AE0"/>
    <w:rsid w:val="002E3842"/>
    <w:rsid w:val="002E3ECE"/>
    <w:rsid w:val="002F0AA3"/>
    <w:rsid w:val="002F2312"/>
    <w:rsid w:val="002F3170"/>
    <w:rsid w:val="002F5279"/>
    <w:rsid w:val="002F5A4D"/>
    <w:rsid w:val="002F7788"/>
    <w:rsid w:val="00300258"/>
    <w:rsid w:val="00300B77"/>
    <w:rsid w:val="00303DED"/>
    <w:rsid w:val="00313568"/>
    <w:rsid w:val="00313BB6"/>
    <w:rsid w:val="0031513B"/>
    <w:rsid w:val="0031592D"/>
    <w:rsid w:val="003179F4"/>
    <w:rsid w:val="003203EA"/>
    <w:rsid w:val="00321C46"/>
    <w:rsid w:val="00321E74"/>
    <w:rsid w:val="003220B3"/>
    <w:rsid w:val="00322CE8"/>
    <w:rsid w:val="003249EF"/>
    <w:rsid w:val="0033737E"/>
    <w:rsid w:val="003446D9"/>
    <w:rsid w:val="00347851"/>
    <w:rsid w:val="00352918"/>
    <w:rsid w:val="003561B0"/>
    <w:rsid w:val="00361913"/>
    <w:rsid w:val="00371141"/>
    <w:rsid w:val="00376D0F"/>
    <w:rsid w:val="003827FB"/>
    <w:rsid w:val="00382D80"/>
    <w:rsid w:val="00383DDD"/>
    <w:rsid w:val="00384A75"/>
    <w:rsid w:val="003900C0"/>
    <w:rsid w:val="003911D2"/>
    <w:rsid w:val="003A3ACB"/>
    <w:rsid w:val="003A705E"/>
    <w:rsid w:val="003A7AB5"/>
    <w:rsid w:val="003B190C"/>
    <w:rsid w:val="003B3D76"/>
    <w:rsid w:val="003B605D"/>
    <w:rsid w:val="003B6B50"/>
    <w:rsid w:val="003B6D61"/>
    <w:rsid w:val="003C238F"/>
    <w:rsid w:val="003C6709"/>
    <w:rsid w:val="003D0DC7"/>
    <w:rsid w:val="003E01C5"/>
    <w:rsid w:val="003E0C3D"/>
    <w:rsid w:val="003E299A"/>
    <w:rsid w:val="003E2FB0"/>
    <w:rsid w:val="003E3783"/>
    <w:rsid w:val="003E6D87"/>
    <w:rsid w:val="003F5089"/>
    <w:rsid w:val="003F639B"/>
    <w:rsid w:val="003F660E"/>
    <w:rsid w:val="003F7CCA"/>
    <w:rsid w:val="00401835"/>
    <w:rsid w:val="0041750B"/>
    <w:rsid w:val="0042084F"/>
    <w:rsid w:val="004274C0"/>
    <w:rsid w:val="00435764"/>
    <w:rsid w:val="0045095F"/>
    <w:rsid w:val="00457A0B"/>
    <w:rsid w:val="0046071E"/>
    <w:rsid w:val="00460B08"/>
    <w:rsid w:val="00460D49"/>
    <w:rsid w:val="00464459"/>
    <w:rsid w:val="00466B2B"/>
    <w:rsid w:val="00470FA6"/>
    <w:rsid w:val="004801B7"/>
    <w:rsid w:val="00482D31"/>
    <w:rsid w:val="004840BF"/>
    <w:rsid w:val="00487041"/>
    <w:rsid w:val="004874D8"/>
    <w:rsid w:val="0049337B"/>
    <w:rsid w:val="0049672B"/>
    <w:rsid w:val="00496BCA"/>
    <w:rsid w:val="004A1EAD"/>
    <w:rsid w:val="004A266D"/>
    <w:rsid w:val="004A5249"/>
    <w:rsid w:val="004B55A4"/>
    <w:rsid w:val="004B68C4"/>
    <w:rsid w:val="004C06BB"/>
    <w:rsid w:val="004C52FF"/>
    <w:rsid w:val="004C6DA0"/>
    <w:rsid w:val="004C6ED5"/>
    <w:rsid w:val="004D58D9"/>
    <w:rsid w:val="004E1CC3"/>
    <w:rsid w:val="004E2595"/>
    <w:rsid w:val="004E2864"/>
    <w:rsid w:val="004E36D6"/>
    <w:rsid w:val="004E4833"/>
    <w:rsid w:val="004E5B24"/>
    <w:rsid w:val="004F25A7"/>
    <w:rsid w:val="004F2E30"/>
    <w:rsid w:val="004F34EB"/>
    <w:rsid w:val="004F5739"/>
    <w:rsid w:val="004F5E6E"/>
    <w:rsid w:val="004F6E23"/>
    <w:rsid w:val="004F7933"/>
    <w:rsid w:val="004F796E"/>
    <w:rsid w:val="0051389A"/>
    <w:rsid w:val="005210CB"/>
    <w:rsid w:val="005248A8"/>
    <w:rsid w:val="00524AD4"/>
    <w:rsid w:val="00526053"/>
    <w:rsid w:val="005264EC"/>
    <w:rsid w:val="00527E59"/>
    <w:rsid w:val="00531FEA"/>
    <w:rsid w:val="0053317B"/>
    <w:rsid w:val="00533C16"/>
    <w:rsid w:val="00535E1F"/>
    <w:rsid w:val="00537572"/>
    <w:rsid w:val="0054107A"/>
    <w:rsid w:val="00541876"/>
    <w:rsid w:val="0055450E"/>
    <w:rsid w:val="00556D31"/>
    <w:rsid w:val="00560609"/>
    <w:rsid w:val="0056071B"/>
    <w:rsid w:val="005607F4"/>
    <w:rsid w:val="00563EA0"/>
    <w:rsid w:val="00565B18"/>
    <w:rsid w:val="0056679C"/>
    <w:rsid w:val="00566ED7"/>
    <w:rsid w:val="0057077F"/>
    <w:rsid w:val="00570DC9"/>
    <w:rsid w:val="00583285"/>
    <w:rsid w:val="0058532F"/>
    <w:rsid w:val="00587453"/>
    <w:rsid w:val="0059232B"/>
    <w:rsid w:val="005927C8"/>
    <w:rsid w:val="00595581"/>
    <w:rsid w:val="00595E9E"/>
    <w:rsid w:val="00595EA2"/>
    <w:rsid w:val="00596B9A"/>
    <w:rsid w:val="0059777A"/>
    <w:rsid w:val="005A3FFA"/>
    <w:rsid w:val="005A7441"/>
    <w:rsid w:val="005B2583"/>
    <w:rsid w:val="005B43CD"/>
    <w:rsid w:val="005C0300"/>
    <w:rsid w:val="005C0598"/>
    <w:rsid w:val="005C0BD6"/>
    <w:rsid w:val="005C3773"/>
    <w:rsid w:val="005C4D46"/>
    <w:rsid w:val="005C57F0"/>
    <w:rsid w:val="005C5ECE"/>
    <w:rsid w:val="005D01EF"/>
    <w:rsid w:val="005D02DB"/>
    <w:rsid w:val="005D11E7"/>
    <w:rsid w:val="005D35E1"/>
    <w:rsid w:val="005D4D54"/>
    <w:rsid w:val="005D4D7E"/>
    <w:rsid w:val="005F2DED"/>
    <w:rsid w:val="005F30F0"/>
    <w:rsid w:val="005F72BE"/>
    <w:rsid w:val="00600CC8"/>
    <w:rsid w:val="00601FC4"/>
    <w:rsid w:val="00602511"/>
    <w:rsid w:val="00602F2B"/>
    <w:rsid w:val="00604C89"/>
    <w:rsid w:val="00606A34"/>
    <w:rsid w:val="00606ACC"/>
    <w:rsid w:val="00607ED4"/>
    <w:rsid w:val="006105BE"/>
    <w:rsid w:val="00611951"/>
    <w:rsid w:val="00612DBE"/>
    <w:rsid w:val="00617C41"/>
    <w:rsid w:val="00617DBE"/>
    <w:rsid w:val="00620AAD"/>
    <w:rsid w:val="00630A29"/>
    <w:rsid w:val="006354B6"/>
    <w:rsid w:val="00635D1F"/>
    <w:rsid w:val="00640079"/>
    <w:rsid w:val="00641A4D"/>
    <w:rsid w:val="00645853"/>
    <w:rsid w:val="00645D9C"/>
    <w:rsid w:val="006472A0"/>
    <w:rsid w:val="00651423"/>
    <w:rsid w:val="006612E7"/>
    <w:rsid w:val="00662FC9"/>
    <w:rsid w:val="00665599"/>
    <w:rsid w:val="00677789"/>
    <w:rsid w:val="00681F22"/>
    <w:rsid w:val="006844BB"/>
    <w:rsid w:val="0068722E"/>
    <w:rsid w:val="006917DC"/>
    <w:rsid w:val="00693269"/>
    <w:rsid w:val="00694629"/>
    <w:rsid w:val="006957B2"/>
    <w:rsid w:val="006A24B4"/>
    <w:rsid w:val="006A2DF3"/>
    <w:rsid w:val="006A389E"/>
    <w:rsid w:val="006B19B6"/>
    <w:rsid w:val="006B1FD8"/>
    <w:rsid w:val="006B2447"/>
    <w:rsid w:val="006B5C72"/>
    <w:rsid w:val="006C0BF1"/>
    <w:rsid w:val="006C4E4B"/>
    <w:rsid w:val="006C5246"/>
    <w:rsid w:val="006C7CDB"/>
    <w:rsid w:val="006D3057"/>
    <w:rsid w:val="006D3CC6"/>
    <w:rsid w:val="006D450F"/>
    <w:rsid w:val="006D66A5"/>
    <w:rsid w:val="006E2AB4"/>
    <w:rsid w:val="006E3599"/>
    <w:rsid w:val="006E4C8C"/>
    <w:rsid w:val="006E6CCE"/>
    <w:rsid w:val="006F0539"/>
    <w:rsid w:val="006F0950"/>
    <w:rsid w:val="006F0A38"/>
    <w:rsid w:val="006F41CF"/>
    <w:rsid w:val="006F5A70"/>
    <w:rsid w:val="006F7F05"/>
    <w:rsid w:val="007057E7"/>
    <w:rsid w:val="00710454"/>
    <w:rsid w:val="007318F5"/>
    <w:rsid w:val="0073502D"/>
    <w:rsid w:val="00735162"/>
    <w:rsid w:val="00736A13"/>
    <w:rsid w:val="007401C9"/>
    <w:rsid w:val="007436A2"/>
    <w:rsid w:val="00743C72"/>
    <w:rsid w:val="00744418"/>
    <w:rsid w:val="00752A48"/>
    <w:rsid w:val="007531F7"/>
    <w:rsid w:val="00762202"/>
    <w:rsid w:val="00765BF1"/>
    <w:rsid w:val="0077559B"/>
    <w:rsid w:val="00775FB5"/>
    <w:rsid w:val="0077754E"/>
    <w:rsid w:val="00787299"/>
    <w:rsid w:val="007903B9"/>
    <w:rsid w:val="00791387"/>
    <w:rsid w:val="00791EE2"/>
    <w:rsid w:val="00794123"/>
    <w:rsid w:val="0079462C"/>
    <w:rsid w:val="00794C61"/>
    <w:rsid w:val="00797BE5"/>
    <w:rsid w:val="007A0BD9"/>
    <w:rsid w:val="007A1BBC"/>
    <w:rsid w:val="007A30AF"/>
    <w:rsid w:val="007A38FB"/>
    <w:rsid w:val="007A5048"/>
    <w:rsid w:val="007B21F8"/>
    <w:rsid w:val="007B498B"/>
    <w:rsid w:val="007B6C98"/>
    <w:rsid w:val="007C2647"/>
    <w:rsid w:val="007C441B"/>
    <w:rsid w:val="007D0CFD"/>
    <w:rsid w:val="007D121B"/>
    <w:rsid w:val="007D1CF9"/>
    <w:rsid w:val="007E1A69"/>
    <w:rsid w:val="007E3B16"/>
    <w:rsid w:val="007E71BB"/>
    <w:rsid w:val="007E750D"/>
    <w:rsid w:val="007F0A90"/>
    <w:rsid w:val="007F4DEA"/>
    <w:rsid w:val="007F66C9"/>
    <w:rsid w:val="007F7E02"/>
    <w:rsid w:val="0080476E"/>
    <w:rsid w:val="008116BA"/>
    <w:rsid w:val="00814C37"/>
    <w:rsid w:val="008171A8"/>
    <w:rsid w:val="00822D5B"/>
    <w:rsid w:val="00824B9D"/>
    <w:rsid w:val="00825853"/>
    <w:rsid w:val="008363DD"/>
    <w:rsid w:val="008377FB"/>
    <w:rsid w:val="0084051D"/>
    <w:rsid w:val="00842ED4"/>
    <w:rsid w:val="0084680C"/>
    <w:rsid w:val="00847717"/>
    <w:rsid w:val="0085396D"/>
    <w:rsid w:val="00854A8A"/>
    <w:rsid w:val="00857297"/>
    <w:rsid w:val="00860AF4"/>
    <w:rsid w:val="00865705"/>
    <w:rsid w:val="008721B4"/>
    <w:rsid w:val="008734DE"/>
    <w:rsid w:val="00873755"/>
    <w:rsid w:val="00877D9F"/>
    <w:rsid w:val="0088066B"/>
    <w:rsid w:val="00880919"/>
    <w:rsid w:val="0088694C"/>
    <w:rsid w:val="00891E1C"/>
    <w:rsid w:val="00892676"/>
    <w:rsid w:val="00892974"/>
    <w:rsid w:val="0089300C"/>
    <w:rsid w:val="008930D0"/>
    <w:rsid w:val="00893CCD"/>
    <w:rsid w:val="008978F3"/>
    <w:rsid w:val="008A05A0"/>
    <w:rsid w:val="008A7614"/>
    <w:rsid w:val="008A7B29"/>
    <w:rsid w:val="008B0B65"/>
    <w:rsid w:val="008B1185"/>
    <w:rsid w:val="008B2DA0"/>
    <w:rsid w:val="008B47F1"/>
    <w:rsid w:val="008B5C21"/>
    <w:rsid w:val="008B6E40"/>
    <w:rsid w:val="008B7782"/>
    <w:rsid w:val="008B7991"/>
    <w:rsid w:val="008C3365"/>
    <w:rsid w:val="008C39EF"/>
    <w:rsid w:val="008C55BA"/>
    <w:rsid w:val="008C5CA8"/>
    <w:rsid w:val="008D04FE"/>
    <w:rsid w:val="008D0EB2"/>
    <w:rsid w:val="008D1D03"/>
    <w:rsid w:val="008D58C7"/>
    <w:rsid w:val="008D6857"/>
    <w:rsid w:val="008E37B4"/>
    <w:rsid w:val="008F084B"/>
    <w:rsid w:val="008F2B15"/>
    <w:rsid w:val="008F3A62"/>
    <w:rsid w:val="008F56A9"/>
    <w:rsid w:val="00913C88"/>
    <w:rsid w:val="00914EFF"/>
    <w:rsid w:val="009152E9"/>
    <w:rsid w:val="00915958"/>
    <w:rsid w:val="00917964"/>
    <w:rsid w:val="0092076D"/>
    <w:rsid w:val="00922421"/>
    <w:rsid w:val="0092346C"/>
    <w:rsid w:val="00925D65"/>
    <w:rsid w:val="0092722A"/>
    <w:rsid w:val="00927ED2"/>
    <w:rsid w:val="00930F63"/>
    <w:rsid w:val="009355DA"/>
    <w:rsid w:val="00940667"/>
    <w:rsid w:val="00940E46"/>
    <w:rsid w:val="009435B4"/>
    <w:rsid w:val="009439ED"/>
    <w:rsid w:val="00950F27"/>
    <w:rsid w:val="0095116D"/>
    <w:rsid w:val="0096144E"/>
    <w:rsid w:val="00962E5E"/>
    <w:rsid w:val="00964B1C"/>
    <w:rsid w:val="009661FB"/>
    <w:rsid w:val="00967662"/>
    <w:rsid w:val="00970057"/>
    <w:rsid w:val="00973CB3"/>
    <w:rsid w:val="0098158B"/>
    <w:rsid w:val="00981890"/>
    <w:rsid w:val="00983661"/>
    <w:rsid w:val="00983E4A"/>
    <w:rsid w:val="00986F3B"/>
    <w:rsid w:val="0098748E"/>
    <w:rsid w:val="00987923"/>
    <w:rsid w:val="0099109D"/>
    <w:rsid w:val="009926EF"/>
    <w:rsid w:val="00996D6C"/>
    <w:rsid w:val="009970A7"/>
    <w:rsid w:val="009A22C3"/>
    <w:rsid w:val="009A4A83"/>
    <w:rsid w:val="009A524F"/>
    <w:rsid w:val="009A6956"/>
    <w:rsid w:val="009A73E7"/>
    <w:rsid w:val="009B3CEF"/>
    <w:rsid w:val="009B7CC0"/>
    <w:rsid w:val="009C2C0E"/>
    <w:rsid w:val="009D7C3A"/>
    <w:rsid w:val="009E3638"/>
    <w:rsid w:val="009E53AF"/>
    <w:rsid w:val="009E707A"/>
    <w:rsid w:val="009F3178"/>
    <w:rsid w:val="009F389B"/>
    <w:rsid w:val="009F4763"/>
    <w:rsid w:val="009F49B8"/>
    <w:rsid w:val="00A01A65"/>
    <w:rsid w:val="00A16E51"/>
    <w:rsid w:val="00A22834"/>
    <w:rsid w:val="00A269D6"/>
    <w:rsid w:val="00A3649E"/>
    <w:rsid w:val="00A364D6"/>
    <w:rsid w:val="00A42CA6"/>
    <w:rsid w:val="00A4622B"/>
    <w:rsid w:val="00A47B27"/>
    <w:rsid w:val="00A509B1"/>
    <w:rsid w:val="00A50B3D"/>
    <w:rsid w:val="00A50D7E"/>
    <w:rsid w:val="00A53360"/>
    <w:rsid w:val="00A5678C"/>
    <w:rsid w:val="00A57447"/>
    <w:rsid w:val="00A60D0F"/>
    <w:rsid w:val="00A6163B"/>
    <w:rsid w:val="00A71F22"/>
    <w:rsid w:val="00A7222E"/>
    <w:rsid w:val="00A73935"/>
    <w:rsid w:val="00A73BCB"/>
    <w:rsid w:val="00A74206"/>
    <w:rsid w:val="00A743D9"/>
    <w:rsid w:val="00A77BC0"/>
    <w:rsid w:val="00A77C55"/>
    <w:rsid w:val="00A803C7"/>
    <w:rsid w:val="00A8476A"/>
    <w:rsid w:val="00A87EAC"/>
    <w:rsid w:val="00A90C1D"/>
    <w:rsid w:val="00A92226"/>
    <w:rsid w:val="00A93971"/>
    <w:rsid w:val="00A93F26"/>
    <w:rsid w:val="00A94AA6"/>
    <w:rsid w:val="00AA1DBC"/>
    <w:rsid w:val="00AA31EE"/>
    <w:rsid w:val="00AA493D"/>
    <w:rsid w:val="00AA5DCC"/>
    <w:rsid w:val="00AC0CEB"/>
    <w:rsid w:val="00AC276F"/>
    <w:rsid w:val="00AD2FF4"/>
    <w:rsid w:val="00AD4DED"/>
    <w:rsid w:val="00AD52BE"/>
    <w:rsid w:val="00AE052E"/>
    <w:rsid w:val="00AF0D1A"/>
    <w:rsid w:val="00AF2266"/>
    <w:rsid w:val="00AF3150"/>
    <w:rsid w:val="00AF4F87"/>
    <w:rsid w:val="00AF54FB"/>
    <w:rsid w:val="00AF6EB6"/>
    <w:rsid w:val="00B00C6A"/>
    <w:rsid w:val="00B03AA6"/>
    <w:rsid w:val="00B10523"/>
    <w:rsid w:val="00B1210A"/>
    <w:rsid w:val="00B14931"/>
    <w:rsid w:val="00B149D5"/>
    <w:rsid w:val="00B16891"/>
    <w:rsid w:val="00B2166E"/>
    <w:rsid w:val="00B21E30"/>
    <w:rsid w:val="00B2291B"/>
    <w:rsid w:val="00B34107"/>
    <w:rsid w:val="00B34AE8"/>
    <w:rsid w:val="00B35904"/>
    <w:rsid w:val="00B37577"/>
    <w:rsid w:val="00B41B0C"/>
    <w:rsid w:val="00B51700"/>
    <w:rsid w:val="00B521E1"/>
    <w:rsid w:val="00B56DA2"/>
    <w:rsid w:val="00B56FA9"/>
    <w:rsid w:val="00B60038"/>
    <w:rsid w:val="00B650B0"/>
    <w:rsid w:val="00B66E4B"/>
    <w:rsid w:val="00B73A16"/>
    <w:rsid w:val="00B746A5"/>
    <w:rsid w:val="00B80D95"/>
    <w:rsid w:val="00B82AA0"/>
    <w:rsid w:val="00B83FA4"/>
    <w:rsid w:val="00B85232"/>
    <w:rsid w:val="00B859E6"/>
    <w:rsid w:val="00B86C79"/>
    <w:rsid w:val="00B92AF4"/>
    <w:rsid w:val="00B94D4E"/>
    <w:rsid w:val="00BA1D57"/>
    <w:rsid w:val="00BA511D"/>
    <w:rsid w:val="00BA65AE"/>
    <w:rsid w:val="00BC11AE"/>
    <w:rsid w:val="00BD15FD"/>
    <w:rsid w:val="00BD5326"/>
    <w:rsid w:val="00BD5BDC"/>
    <w:rsid w:val="00BE1CD9"/>
    <w:rsid w:val="00BE37ED"/>
    <w:rsid w:val="00BE3FC8"/>
    <w:rsid w:val="00BF007C"/>
    <w:rsid w:val="00BF0A3E"/>
    <w:rsid w:val="00BF347F"/>
    <w:rsid w:val="00BF5E7A"/>
    <w:rsid w:val="00BF629C"/>
    <w:rsid w:val="00BF6475"/>
    <w:rsid w:val="00C0080A"/>
    <w:rsid w:val="00C01951"/>
    <w:rsid w:val="00C10AEC"/>
    <w:rsid w:val="00C13FA1"/>
    <w:rsid w:val="00C14331"/>
    <w:rsid w:val="00C15DC5"/>
    <w:rsid w:val="00C216E0"/>
    <w:rsid w:val="00C23E66"/>
    <w:rsid w:val="00C24563"/>
    <w:rsid w:val="00C30259"/>
    <w:rsid w:val="00C311A6"/>
    <w:rsid w:val="00C33B8E"/>
    <w:rsid w:val="00C35F24"/>
    <w:rsid w:val="00C3671F"/>
    <w:rsid w:val="00C36F05"/>
    <w:rsid w:val="00C37100"/>
    <w:rsid w:val="00C37A90"/>
    <w:rsid w:val="00C4158E"/>
    <w:rsid w:val="00C428E2"/>
    <w:rsid w:val="00C50B16"/>
    <w:rsid w:val="00C52B85"/>
    <w:rsid w:val="00C5555F"/>
    <w:rsid w:val="00C66867"/>
    <w:rsid w:val="00C67610"/>
    <w:rsid w:val="00C70747"/>
    <w:rsid w:val="00C70A9C"/>
    <w:rsid w:val="00C71214"/>
    <w:rsid w:val="00C713EF"/>
    <w:rsid w:val="00C71E8E"/>
    <w:rsid w:val="00C71F4F"/>
    <w:rsid w:val="00C73BE3"/>
    <w:rsid w:val="00C77EB7"/>
    <w:rsid w:val="00C844D1"/>
    <w:rsid w:val="00C9064F"/>
    <w:rsid w:val="00C97DB1"/>
    <w:rsid w:val="00CA33B0"/>
    <w:rsid w:val="00CB1CB0"/>
    <w:rsid w:val="00CB5C01"/>
    <w:rsid w:val="00CB76E3"/>
    <w:rsid w:val="00CC0236"/>
    <w:rsid w:val="00CC2CC5"/>
    <w:rsid w:val="00CC2F6E"/>
    <w:rsid w:val="00CD0946"/>
    <w:rsid w:val="00CD0A9E"/>
    <w:rsid w:val="00CD0C4A"/>
    <w:rsid w:val="00CE08F6"/>
    <w:rsid w:val="00CE48F7"/>
    <w:rsid w:val="00CE6DCA"/>
    <w:rsid w:val="00CF0D7E"/>
    <w:rsid w:val="00CF46D1"/>
    <w:rsid w:val="00D01EE9"/>
    <w:rsid w:val="00D044D4"/>
    <w:rsid w:val="00D0570A"/>
    <w:rsid w:val="00D074F7"/>
    <w:rsid w:val="00D07BEA"/>
    <w:rsid w:val="00D105CA"/>
    <w:rsid w:val="00D12440"/>
    <w:rsid w:val="00D13476"/>
    <w:rsid w:val="00D229F4"/>
    <w:rsid w:val="00D30B5D"/>
    <w:rsid w:val="00D31251"/>
    <w:rsid w:val="00D32445"/>
    <w:rsid w:val="00D3332C"/>
    <w:rsid w:val="00D3570E"/>
    <w:rsid w:val="00D40072"/>
    <w:rsid w:val="00D4071C"/>
    <w:rsid w:val="00D40756"/>
    <w:rsid w:val="00D40A8D"/>
    <w:rsid w:val="00D4638D"/>
    <w:rsid w:val="00D47200"/>
    <w:rsid w:val="00D50429"/>
    <w:rsid w:val="00D51315"/>
    <w:rsid w:val="00D52BA5"/>
    <w:rsid w:val="00D53713"/>
    <w:rsid w:val="00D7172B"/>
    <w:rsid w:val="00D756B2"/>
    <w:rsid w:val="00D77162"/>
    <w:rsid w:val="00D811D5"/>
    <w:rsid w:val="00D84612"/>
    <w:rsid w:val="00D91385"/>
    <w:rsid w:val="00D92394"/>
    <w:rsid w:val="00D93936"/>
    <w:rsid w:val="00D94116"/>
    <w:rsid w:val="00D959FD"/>
    <w:rsid w:val="00DA1568"/>
    <w:rsid w:val="00DA51FE"/>
    <w:rsid w:val="00DB28DB"/>
    <w:rsid w:val="00DB4A1B"/>
    <w:rsid w:val="00DB7872"/>
    <w:rsid w:val="00DD4DFA"/>
    <w:rsid w:val="00DD6C9D"/>
    <w:rsid w:val="00DD7718"/>
    <w:rsid w:val="00DE3001"/>
    <w:rsid w:val="00DF0BAE"/>
    <w:rsid w:val="00DF172D"/>
    <w:rsid w:val="00DF5A94"/>
    <w:rsid w:val="00E0124B"/>
    <w:rsid w:val="00E01784"/>
    <w:rsid w:val="00E03291"/>
    <w:rsid w:val="00E05050"/>
    <w:rsid w:val="00E06F9B"/>
    <w:rsid w:val="00E11419"/>
    <w:rsid w:val="00E12233"/>
    <w:rsid w:val="00E22C66"/>
    <w:rsid w:val="00E268EA"/>
    <w:rsid w:val="00E311AC"/>
    <w:rsid w:val="00E3701F"/>
    <w:rsid w:val="00E37CCB"/>
    <w:rsid w:val="00E40620"/>
    <w:rsid w:val="00E409E6"/>
    <w:rsid w:val="00E448FE"/>
    <w:rsid w:val="00E47667"/>
    <w:rsid w:val="00E51B9C"/>
    <w:rsid w:val="00E52C5F"/>
    <w:rsid w:val="00E54A7A"/>
    <w:rsid w:val="00E55466"/>
    <w:rsid w:val="00E55579"/>
    <w:rsid w:val="00E60055"/>
    <w:rsid w:val="00E61A19"/>
    <w:rsid w:val="00E67B0D"/>
    <w:rsid w:val="00E744B9"/>
    <w:rsid w:val="00E76ADB"/>
    <w:rsid w:val="00E774E6"/>
    <w:rsid w:val="00E81523"/>
    <w:rsid w:val="00E815F7"/>
    <w:rsid w:val="00E81A40"/>
    <w:rsid w:val="00E81AE9"/>
    <w:rsid w:val="00E84096"/>
    <w:rsid w:val="00E8680E"/>
    <w:rsid w:val="00E90BBF"/>
    <w:rsid w:val="00E926B9"/>
    <w:rsid w:val="00E92DA7"/>
    <w:rsid w:val="00E9744B"/>
    <w:rsid w:val="00EA52E7"/>
    <w:rsid w:val="00EB2A16"/>
    <w:rsid w:val="00EB3E68"/>
    <w:rsid w:val="00EC14A6"/>
    <w:rsid w:val="00EC2D73"/>
    <w:rsid w:val="00EC3A15"/>
    <w:rsid w:val="00EC486A"/>
    <w:rsid w:val="00EC60B6"/>
    <w:rsid w:val="00ED417D"/>
    <w:rsid w:val="00ED4A56"/>
    <w:rsid w:val="00ED5B7B"/>
    <w:rsid w:val="00ED7021"/>
    <w:rsid w:val="00ED776B"/>
    <w:rsid w:val="00EE13DA"/>
    <w:rsid w:val="00EE2F40"/>
    <w:rsid w:val="00EE355E"/>
    <w:rsid w:val="00EE35DE"/>
    <w:rsid w:val="00EE6669"/>
    <w:rsid w:val="00EE7A81"/>
    <w:rsid w:val="00EF07B5"/>
    <w:rsid w:val="00EF57E3"/>
    <w:rsid w:val="00EF61A7"/>
    <w:rsid w:val="00F022C4"/>
    <w:rsid w:val="00F059A5"/>
    <w:rsid w:val="00F06C44"/>
    <w:rsid w:val="00F071FB"/>
    <w:rsid w:val="00F15D2F"/>
    <w:rsid w:val="00F17EFD"/>
    <w:rsid w:val="00F2212E"/>
    <w:rsid w:val="00F31854"/>
    <w:rsid w:val="00F337EA"/>
    <w:rsid w:val="00F403B8"/>
    <w:rsid w:val="00F42CDB"/>
    <w:rsid w:val="00F4361F"/>
    <w:rsid w:val="00F46134"/>
    <w:rsid w:val="00F47688"/>
    <w:rsid w:val="00F53604"/>
    <w:rsid w:val="00F6234D"/>
    <w:rsid w:val="00F66EB8"/>
    <w:rsid w:val="00F703D7"/>
    <w:rsid w:val="00F749BF"/>
    <w:rsid w:val="00F81926"/>
    <w:rsid w:val="00F82BD6"/>
    <w:rsid w:val="00F8353E"/>
    <w:rsid w:val="00F84961"/>
    <w:rsid w:val="00F8728D"/>
    <w:rsid w:val="00F875AF"/>
    <w:rsid w:val="00F93375"/>
    <w:rsid w:val="00F93E55"/>
    <w:rsid w:val="00F975BC"/>
    <w:rsid w:val="00FA4F77"/>
    <w:rsid w:val="00FA57C2"/>
    <w:rsid w:val="00FA6360"/>
    <w:rsid w:val="00FB1168"/>
    <w:rsid w:val="00FB11A2"/>
    <w:rsid w:val="00FB155F"/>
    <w:rsid w:val="00FB37CC"/>
    <w:rsid w:val="00FB3824"/>
    <w:rsid w:val="00FB4D04"/>
    <w:rsid w:val="00FC0813"/>
    <w:rsid w:val="00FC112D"/>
    <w:rsid w:val="00FC4D95"/>
    <w:rsid w:val="00FC6E81"/>
    <w:rsid w:val="00FD070C"/>
    <w:rsid w:val="00FD13F7"/>
    <w:rsid w:val="00FD3DC4"/>
    <w:rsid w:val="00FE105F"/>
    <w:rsid w:val="00FE4A23"/>
    <w:rsid w:val="00FE5F73"/>
    <w:rsid w:val="00FE658B"/>
    <w:rsid w:val="00FE7790"/>
    <w:rsid w:val="00FE7F42"/>
    <w:rsid w:val="00FF0ADA"/>
    <w:rsid w:val="00FF5E42"/>
    <w:rsid w:val="00FF7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1829"/>
  <w15:docId w15:val="{4EECF6DF-B787-482A-A082-BE4EF8C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80A"/>
  </w:style>
  <w:style w:type="paragraph" w:styleId="Nagwek1">
    <w:name w:val="heading 1"/>
    <w:basedOn w:val="Normalny"/>
    <w:next w:val="Normalny"/>
    <w:link w:val="Nagwek1Znak"/>
    <w:uiPriority w:val="9"/>
    <w:qFormat/>
    <w:rsid w:val="0019516C"/>
    <w:pPr>
      <w:keepNext/>
      <w:pageBreakBefore/>
      <w:autoSpaceDE w:val="0"/>
      <w:autoSpaceDN w:val="0"/>
      <w:adjustRightInd w:val="0"/>
      <w:spacing w:after="120" w:line="264" w:lineRule="auto"/>
      <w:jc w:val="center"/>
      <w:outlineLvl w:val="0"/>
    </w:pPr>
    <w:rPr>
      <w:rFonts w:ascii="Times New Roman" w:eastAsia="Times New Roman" w:hAnsi="Times New Roman" w:cs="Times New Roman"/>
      <w:b/>
      <w:caps/>
      <w:snapToGrid w:val="0"/>
      <w:kern w:val="28"/>
      <w:position w:val="-10"/>
      <w:sz w:val="26"/>
      <w:szCs w:val="20"/>
      <w:lang w:eastAsia="pl-PL"/>
    </w:rPr>
  </w:style>
  <w:style w:type="paragraph" w:styleId="Nagwek3">
    <w:name w:val="heading 3"/>
    <w:basedOn w:val="Normalny"/>
    <w:next w:val="Normalny"/>
    <w:link w:val="Nagwek3Znak"/>
    <w:uiPriority w:val="9"/>
    <w:semiHidden/>
    <w:unhideWhenUsed/>
    <w:qFormat/>
    <w:rsid w:val="006B19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s"/>
    <w:basedOn w:val="Normalny"/>
    <w:link w:val="AkapitzlistZnak"/>
    <w:uiPriority w:val="34"/>
    <w:qFormat/>
    <w:rsid w:val="00466B2B"/>
    <w:pPr>
      <w:ind w:left="720"/>
      <w:contextualSpacing/>
    </w:pPr>
  </w:style>
  <w:style w:type="table" w:styleId="Tabela-Siatka">
    <w:name w:val="Table Grid"/>
    <w:basedOn w:val="Standardowy"/>
    <w:uiPriority w:val="59"/>
    <w:rsid w:val="006E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1">
    <w:name w:val="Jasna siatka1"/>
    <w:basedOn w:val="Standardowy"/>
    <w:uiPriority w:val="62"/>
    <w:rsid w:val="002007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a-Siatka1">
    <w:name w:val="Tabela - Siatka1"/>
    <w:basedOn w:val="Standardowy"/>
    <w:next w:val="Tabela-Siatka"/>
    <w:uiPriority w:val="59"/>
    <w:rsid w:val="004E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2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6D3057"/>
    <w:pPr>
      <w:spacing w:after="0" w:line="240" w:lineRule="auto"/>
      <w:jc w:val="center"/>
    </w:pPr>
    <w:rPr>
      <w:rFonts w:ascii="Times New Roman" w:eastAsia="Times New Roman" w:hAnsi="Times New Roman" w:cs="Times New Roman"/>
      <w:sz w:val="16"/>
      <w:szCs w:val="24"/>
      <w:lang w:eastAsia="pl-PL"/>
    </w:rPr>
  </w:style>
  <w:style w:type="character" w:customStyle="1" w:styleId="TekstpodstawowyZnak">
    <w:name w:val="Tekst podstawowy Znak"/>
    <w:basedOn w:val="Domylnaczcionkaakapitu"/>
    <w:link w:val="Tekstpodstawowy"/>
    <w:rsid w:val="006D3057"/>
    <w:rPr>
      <w:rFonts w:ascii="Times New Roman" w:eastAsia="Times New Roman" w:hAnsi="Times New Roman" w:cs="Times New Roman"/>
      <w:sz w:val="16"/>
      <w:szCs w:val="24"/>
      <w:lang w:eastAsia="pl-PL"/>
    </w:rPr>
  </w:style>
  <w:style w:type="paragraph" w:styleId="Tekstpodstawowy2">
    <w:name w:val="Body Text 2"/>
    <w:basedOn w:val="Normalny"/>
    <w:link w:val="Tekstpodstawowy2Znak"/>
    <w:rsid w:val="006D3057"/>
    <w:pPr>
      <w:spacing w:after="0" w:line="240" w:lineRule="auto"/>
      <w:jc w:val="both"/>
    </w:pPr>
    <w:rPr>
      <w:rFonts w:ascii="Tahoma" w:eastAsia="Times New Roman" w:hAnsi="Tahoma" w:cs="Tahoma"/>
      <w:sz w:val="24"/>
      <w:szCs w:val="24"/>
      <w:lang w:eastAsia="pl-PL"/>
    </w:rPr>
  </w:style>
  <w:style w:type="character" w:customStyle="1" w:styleId="Tekstpodstawowy2Znak">
    <w:name w:val="Tekst podstawowy 2 Znak"/>
    <w:basedOn w:val="Domylnaczcionkaakapitu"/>
    <w:link w:val="Tekstpodstawowy2"/>
    <w:rsid w:val="006D3057"/>
    <w:rPr>
      <w:rFonts w:ascii="Tahoma" w:eastAsia="Times New Roman" w:hAnsi="Tahoma" w:cs="Tahoma"/>
      <w:sz w:val="24"/>
      <w:szCs w:val="24"/>
      <w:lang w:eastAsia="pl-PL"/>
    </w:rPr>
  </w:style>
  <w:style w:type="character" w:customStyle="1" w:styleId="AkapitzlistZnak">
    <w:name w:val="Akapit z listą Znak"/>
    <w:aliases w:val="Bullets Znak"/>
    <w:link w:val="Akapitzlist"/>
    <w:uiPriority w:val="34"/>
    <w:rsid w:val="006D3057"/>
  </w:style>
  <w:style w:type="paragraph" w:styleId="Tekstpodstawowywcity">
    <w:name w:val="Body Text Indent"/>
    <w:basedOn w:val="Normalny"/>
    <w:link w:val="TekstpodstawowywcityZnak"/>
    <w:uiPriority w:val="99"/>
    <w:unhideWhenUsed/>
    <w:rsid w:val="00F53604"/>
    <w:pPr>
      <w:spacing w:after="120"/>
      <w:ind w:left="283"/>
    </w:pPr>
  </w:style>
  <w:style w:type="character" w:customStyle="1" w:styleId="TekstpodstawowywcityZnak">
    <w:name w:val="Tekst podstawowy wcięty Znak"/>
    <w:basedOn w:val="Domylnaczcionkaakapitu"/>
    <w:link w:val="Tekstpodstawowywcity"/>
    <w:uiPriority w:val="99"/>
    <w:rsid w:val="00F53604"/>
  </w:style>
  <w:style w:type="paragraph" w:styleId="Spistreci3">
    <w:name w:val="toc 3"/>
    <w:basedOn w:val="Normalny"/>
    <w:next w:val="Normalny"/>
    <w:autoRedefine/>
    <w:uiPriority w:val="39"/>
    <w:qFormat/>
    <w:rsid w:val="0098748E"/>
    <w:pPr>
      <w:tabs>
        <w:tab w:val="right" w:leader="dot" w:pos="9062"/>
      </w:tabs>
      <w:spacing w:before="360" w:after="0" w:line="240" w:lineRule="auto"/>
      <w:ind w:left="403"/>
      <w:jc w:val="both"/>
    </w:pPr>
    <w:rPr>
      <w:rFonts w:ascii="Times New Roman" w:eastAsia="Arial" w:hAnsi="Times New Roman" w:cs="Times New Roman"/>
      <w:noProof/>
      <w:snapToGrid w:val="0"/>
      <w:spacing w:val="2"/>
      <w:sz w:val="24"/>
      <w:lang w:eastAsia="pl-PL"/>
    </w:rPr>
  </w:style>
  <w:style w:type="paragraph" w:styleId="Tekstdymka">
    <w:name w:val="Balloon Text"/>
    <w:basedOn w:val="Normalny"/>
    <w:link w:val="TekstdymkaZnak"/>
    <w:uiPriority w:val="99"/>
    <w:semiHidden/>
    <w:unhideWhenUsed/>
    <w:rsid w:val="003135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568"/>
    <w:rPr>
      <w:rFonts w:ascii="Tahoma" w:hAnsi="Tahoma" w:cs="Tahoma"/>
      <w:sz w:val="16"/>
      <w:szCs w:val="16"/>
    </w:rPr>
  </w:style>
  <w:style w:type="paragraph" w:styleId="NormalnyWeb">
    <w:name w:val="Normal (Web)"/>
    <w:basedOn w:val="Normalny"/>
    <w:uiPriority w:val="99"/>
    <w:semiHidden/>
    <w:unhideWhenUsed/>
    <w:rsid w:val="00B94D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9516C"/>
    <w:rPr>
      <w:rFonts w:ascii="Times New Roman" w:eastAsia="Times New Roman" w:hAnsi="Times New Roman" w:cs="Times New Roman"/>
      <w:b/>
      <w:caps/>
      <w:snapToGrid w:val="0"/>
      <w:kern w:val="28"/>
      <w:position w:val="-10"/>
      <w:sz w:val="26"/>
      <w:szCs w:val="20"/>
      <w:lang w:eastAsia="pl-PL"/>
    </w:rPr>
  </w:style>
  <w:style w:type="paragraph" w:styleId="Tekstprzypisudolnego">
    <w:name w:val="footnote text"/>
    <w:basedOn w:val="Normalny"/>
    <w:link w:val="TekstprzypisudolnegoZnak"/>
    <w:uiPriority w:val="99"/>
    <w:rsid w:val="0031513B"/>
    <w:pPr>
      <w:tabs>
        <w:tab w:val="right" w:pos="284"/>
        <w:tab w:val="left" w:pos="408"/>
        <w:tab w:val="left" w:pos="709"/>
      </w:tabs>
      <w:spacing w:after="0" w:line="240" w:lineRule="auto"/>
      <w:ind w:right="28"/>
      <w:jc w:val="both"/>
    </w:pPr>
    <w:rPr>
      <w:rFonts w:ascii="Tms Rmn" w:eastAsia="Times New Roman" w:hAnsi="Tms Rmn" w:cs="Times New Roman"/>
      <w:color w:val="000000"/>
      <w:sz w:val="20"/>
      <w:szCs w:val="20"/>
      <w:lang w:val="en-US"/>
    </w:rPr>
  </w:style>
  <w:style w:type="character" w:customStyle="1" w:styleId="TekstprzypisudolnegoZnak">
    <w:name w:val="Tekst przypisu dolnego Znak"/>
    <w:basedOn w:val="Domylnaczcionkaakapitu"/>
    <w:link w:val="Tekstprzypisudolnego"/>
    <w:uiPriority w:val="99"/>
    <w:rsid w:val="0031513B"/>
    <w:rPr>
      <w:rFonts w:ascii="Tms Rmn" w:eastAsia="Times New Roman" w:hAnsi="Tms Rmn" w:cs="Times New Roman"/>
      <w:color w:val="000000"/>
      <w:sz w:val="20"/>
      <w:szCs w:val="20"/>
      <w:lang w:val="en-US"/>
    </w:rPr>
  </w:style>
  <w:style w:type="character" w:styleId="Odwoanieprzypisudolnego">
    <w:name w:val="footnote reference"/>
    <w:uiPriority w:val="99"/>
    <w:semiHidden/>
    <w:rsid w:val="0031513B"/>
    <w:rPr>
      <w:vertAlign w:val="superscript"/>
    </w:rPr>
  </w:style>
  <w:style w:type="character" w:styleId="Odwoaniedokomentarza">
    <w:name w:val="annotation reference"/>
    <w:basedOn w:val="Domylnaczcionkaakapitu"/>
    <w:uiPriority w:val="99"/>
    <w:semiHidden/>
    <w:unhideWhenUsed/>
    <w:rsid w:val="00922421"/>
    <w:rPr>
      <w:sz w:val="16"/>
      <w:szCs w:val="16"/>
    </w:rPr>
  </w:style>
  <w:style w:type="paragraph" w:styleId="Tekstkomentarza">
    <w:name w:val="annotation text"/>
    <w:basedOn w:val="Normalny"/>
    <w:link w:val="TekstkomentarzaZnak"/>
    <w:uiPriority w:val="99"/>
    <w:semiHidden/>
    <w:unhideWhenUsed/>
    <w:rsid w:val="009224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2421"/>
    <w:rPr>
      <w:sz w:val="20"/>
      <w:szCs w:val="20"/>
    </w:rPr>
  </w:style>
  <w:style w:type="paragraph" w:styleId="Tematkomentarza">
    <w:name w:val="annotation subject"/>
    <w:basedOn w:val="Tekstkomentarza"/>
    <w:next w:val="Tekstkomentarza"/>
    <w:link w:val="TematkomentarzaZnak"/>
    <w:uiPriority w:val="99"/>
    <w:semiHidden/>
    <w:unhideWhenUsed/>
    <w:rsid w:val="00922421"/>
    <w:rPr>
      <w:b/>
      <w:bCs/>
    </w:rPr>
  </w:style>
  <w:style w:type="character" w:customStyle="1" w:styleId="TematkomentarzaZnak">
    <w:name w:val="Temat komentarza Znak"/>
    <w:basedOn w:val="TekstkomentarzaZnak"/>
    <w:link w:val="Tematkomentarza"/>
    <w:uiPriority w:val="99"/>
    <w:semiHidden/>
    <w:rsid w:val="00922421"/>
    <w:rPr>
      <w:b/>
      <w:bCs/>
      <w:sz w:val="20"/>
      <w:szCs w:val="20"/>
    </w:rPr>
  </w:style>
  <w:style w:type="paragraph" w:styleId="Poprawka">
    <w:name w:val="Revision"/>
    <w:hidden/>
    <w:uiPriority w:val="99"/>
    <w:semiHidden/>
    <w:rsid w:val="00922421"/>
    <w:pPr>
      <w:spacing w:after="0" w:line="240" w:lineRule="auto"/>
    </w:pPr>
  </w:style>
  <w:style w:type="paragraph" w:customStyle="1" w:styleId="Default">
    <w:name w:val="Default"/>
    <w:rsid w:val="008F084B"/>
    <w:pPr>
      <w:autoSpaceDE w:val="0"/>
      <w:autoSpaceDN w:val="0"/>
      <w:adjustRightInd w:val="0"/>
      <w:spacing w:after="0" w:line="240" w:lineRule="auto"/>
    </w:pPr>
    <w:rPr>
      <w:rFonts w:ascii="Segoe UI" w:hAnsi="Segoe UI" w:cs="Segoe UI"/>
      <w:color w:val="000000"/>
      <w:sz w:val="24"/>
      <w:szCs w:val="24"/>
    </w:rPr>
  </w:style>
  <w:style w:type="table" w:customStyle="1" w:styleId="Tabela-Siatka3">
    <w:name w:val="Tabela - Siatka3"/>
    <w:basedOn w:val="Standardowy"/>
    <w:next w:val="Tabela-Siatka"/>
    <w:uiPriority w:val="59"/>
    <w:rsid w:val="008F0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F0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1E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E8E"/>
  </w:style>
  <w:style w:type="paragraph" w:styleId="Stopka">
    <w:name w:val="footer"/>
    <w:basedOn w:val="Normalny"/>
    <w:link w:val="StopkaZnak"/>
    <w:uiPriority w:val="99"/>
    <w:unhideWhenUsed/>
    <w:rsid w:val="00C71E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E8E"/>
  </w:style>
  <w:style w:type="character" w:styleId="Wyrnienieintensywne">
    <w:name w:val="Intense Emphasis"/>
    <w:basedOn w:val="Domylnaczcionkaakapitu"/>
    <w:uiPriority w:val="21"/>
    <w:qFormat/>
    <w:rsid w:val="00B34AE8"/>
    <w:rPr>
      <w:i/>
      <w:iCs/>
      <w:color w:val="4F81BD" w:themeColor="accent1"/>
    </w:rPr>
  </w:style>
  <w:style w:type="character" w:customStyle="1" w:styleId="Nagwek3Znak">
    <w:name w:val="Nagłówek 3 Znak"/>
    <w:basedOn w:val="Domylnaczcionkaakapitu"/>
    <w:link w:val="Nagwek3"/>
    <w:uiPriority w:val="9"/>
    <w:semiHidden/>
    <w:rsid w:val="006B19B6"/>
    <w:rPr>
      <w:rFonts w:asciiTheme="majorHAnsi" w:eastAsiaTheme="majorEastAsia" w:hAnsiTheme="majorHAnsi" w:cstheme="majorBidi"/>
      <w:color w:val="243F60" w:themeColor="accent1" w:themeShade="7F"/>
      <w:sz w:val="24"/>
      <w:szCs w:val="24"/>
    </w:rPr>
  </w:style>
  <w:style w:type="paragraph" w:customStyle="1" w:styleId="Tekstkomentarza1">
    <w:name w:val="Tekst komentarza1"/>
    <w:basedOn w:val="Normalny"/>
    <w:rsid w:val="006B19B6"/>
    <w:pPr>
      <w:suppressAutoHyphens/>
      <w:autoSpaceDE w:val="0"/>
      <w:spacing w:after="0" w:line="264" w:lineRule="auto"/>
      <w:jc w:val="both"/>
    </w:pPr>
    <w:rPr>
      <w:rFonts w:ascii="Times New Roman" w:eastAsia="Times New Roman" w:hAnsi="Times New Roman" w:cs="Times New Roman"/>
      <w:position w:val="-9"/>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392">
      <w:bodyDiv w:val="1"/>
      <w:marLeft w:val="0"/>
      <w:marRight w:val="0"/>
      <w:marTop w:val="0"/>
      <w:marBottom w:val="0"/>
      <w:divBdr>
        <w:top w:val="none" w:sz="0" w:space="0" w:color="auto"/>
        <w:left w:val="none" w:sz="0" w:space="0" w:color="auto"/>
        <w:bottom w:val="none" w:sz="0" w:space="0" w:color="auto"/>
        <w:right w:val="none" w:sz="0" w:space="0" w:color="auto"/>
      </w:divBdr>
    </w:div>
    <w:div w:id="12241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6DEB4-EE0F-4ABE-9AFF-17EA012A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41</Pages>
  <Words>12511</Words>
  <Characters>75068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Bajka</dc:creator>
  <cp:lastModifiedBy>Małgorzata Skukowska</cp:lastModifiedBy>
  <cp:revision>84</cp:revision>
  <cp:lastPrinted>2021-09-21T08:16:00Z</cp:lastPrinted>
  <dcterms:created xsi:type="dcterms:W3CDTF">2020-05-20T17:24:00Z</dcterms:created>
  <dcterms:modified xsi:type="dcterms:W3CDTF">2021-11-02T13:23:00Z</dcterms:modified>
</cp:coreProperties>
</file>